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5021A4">
        <w:rPr>
          <w:rFonts w:ascii="Palatino Linotype" w:hAnsi="Palatino Linotype" w:cs="Arial"/>
          <w:b/>
          <w:sz w:val="24"/>
          <w:szCs w:val="24"/>
        </w:rPr>
        <w:t>04</w:t>
      </w:r>
      <w:r w:rsidR="00C31B36">
        <w:rPr>
          <w:rFonts w:ascii="Palatino Linotype" w:hAnsi="Palatino Linotype" w:cs="Arial"/>
          <w:b/>
          <w:sz w:val="24"/>
          <w:szCs w:val="24"/>
        </w:rPr>
        <w:t>191</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3C3C72" w:rsidP="003718B9">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3718B9"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Si bien es cierto que la fracción V del artículo 192 de la Ley de Transparencia y Acceso a la Información Pública del Estado de México y Municipios prevé la actualización del sobreseimiento en un recurso de revisión, cuando por cualquier motivo éste quede sin materia, el usar desproporcionadamente la fracción en mérito evita fundamentar las causales de sobreseimiento de una forma mayormente exhaustiva y detallada.</w:t>
      </w:r>
    </w:p>
    <w:p w:rsidR="00D63DB4" w:rsidRDefault="00D63DB4" w:rsidP="00E34F08">
      <w:pPr>
        <w:spacing w:after="0" w:line="360" w:lineRule="auto"/>
        <w:jc w:val="both"/>
        <w:rPr>
          <w:rFonts w:ascii="Palatino Linotype" w:hAnsi="Palatino Linotype" w:cs="Arial"/>
          <w:sz w:val="24"/>
          <w:szCs w:val="24"/>
        </w:rPr>
      </w:pPr>
    </w:p>
    <w:p w:rsidR="00C46A04" w:rsidRPr="00C46A04"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Las fracciones I, II, III y IV del numeral en comento prevén los cuatro escenarios en los que se pudiera actualizar un sobreseimiento de cara al análisis de hechos contenidos en las actuaciones del expediente electrónico de un recurso de revisión, sólo en el caso que no se lograr</w:t>
      </w:r>
      <w:r w:rsidR="008B28C3">
        <w:rPr>
          <w:rFonts w:ascii="Palatino Linotype" w:hAnsi="Palatino Linotype" w:cs="Arial"/>
          <w:sz w:val="24"/>
          <w:szCs w:val="24"/>
        </w:rPr>
        <w:t>á</w:t>
      </w:r>
      <w:r>
        <w:rPr>
          <w:rFonts w:ascii="Palatino Linotype" w:hAnsi="Palatino Linotype" w:cs="Arial"/>
          <w:sz w:val="24"/>
          <w:szCs w:val="24"/>
        </w:rPr>
        <w:t xml:space="preserve"> encuadrar un sobreseimiento mediante las primeras cuatro fracciones, se debería hacer uso de la fracción V.</w:t>
      </w:r>
    </w:p>
    <w:p w:rsidR="003718B9" w:rsidRPr="003718B9" w:rsidRDefault="003718B9" w:rsidP="00E34F08">
      <w:pPr>
        <w:spacing w:after="0" w:line="360" w:lineRule="auto"/>
        <w:jc w:val="both"/>
        <w:rPr>
          <w:rFonts w:ascii="Palatino Linotype" w:hAnsi="Palatino Linotype" w:cs="Arial"/>
          <w:sz w:val="24"/>
          <w:szCs w:val="24"/>
        </w:rPr>
      </w:pPr>
    </w:p>
    <w:p w:rsidR="0046491C" w:rsidRPr="0001046D" w:rsidRDefault="00EA2C08" w:rsidP="003718B9">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hAnsi="Palatino Linotype"/>
          <w:lang w:val="es-ES"/>
        </w:rPr>
        <w:id w:val="-1628690016"/>
        <w:docPartObj>
          <w:docPartGallery w:val="Table of Contents"/>
          <w:docPartUnique/>
        </w:docPartObj>
      </w:sdtPr>
      <w:sdtEndPr>
        <w:rPr>
          <w:b/>
          <w:bCs/>
          <w:sz w:val="24"/>
        </w:rPr>
      </w:sdtEndPr>
      <w:sdtContent>
        <w:p w:rsidR="00D63DB4" w:rsidRDefault="0046491C">
          <w:pPr>
            <w:pStyle w:val="TDC1"/>
            <w:rPr>
              <w:rFonts w:eastAsiaTheme="minorEastAsia"/>
              <w:noProof/>
              <w:lang w:eastAsia="es-MX"/>
            </w:rPr>
          </w:pPr>
          <w:r w:rsidRPr="00D63DB4">
            <w:rPr>
              <w:rFonts w:ascii="Palatino Linotype" w:hAnsi="Palatino Linotype"/>
            </w:rPr>
            <w:fldChar w:fldCharType="begin"/>
          </w:r>
          <w:r w:rsidRPr="00D63DB4">
            <w:rPr>
              <w:rFonts w:ascii="Palatino Linotype" w:hAnsi="Palatino Linotype"/>
            </w:rPr>
            <w:instrText xml:space="preserve"> TOC \o "1-3" \h \z \u </w:instrText>
          </w:r>
          <w:r w:rsidRPr="00D63DB4">
            <w:rPr>
              <w:rFonts w:ascii="Palatino Linotype" w:hAnsi="Palatino Linotype"/>
            </w:rPr>
            <w:fldChar w:fldCharType="separate"/>
          </w:r>
          <w:hyperlink w:anchor="_Toc535841561" w:history="1">
            <w:r w:rsidR="00D63DB4" w:rsidRPr="0052305E">
              <w:rPr>
                <w:rStyle w:val="Hipervnculo"/>
                <w:rFonts w:ascii="Palatino Linotype" w:hAnsi="Palatino Linotype"/>
                <w:b/>
                <w:noProof/>
              </w:rPr>
              <w:t>I.</w:t>
            </w:r>
            <w:r w:rsidR="00D63DB4">
              <w:rPr>
                <w:rFonts w:eastAsiaTheme="minorEastAsia"/>
                <w:noProof/>
                <w:lang w:eastAsia="es-MX"/>
              </w:rPr>
              <w:tab/>
            </w:r>
            <w:r w:rsidR="00D63DB4" w:rsidRPr="0052305E">
              <w:rPr>
                <w:rStyle w:val="Hipervnculo"/>
                <w:rFonts w:ascii="Palatino Linotype" w:hAnsi="Palatino Linotype"/>
                <w:b/>
                <w:noProof/>
              </w:rPr>
              <w:t>Consideraciones Generales.</w:t>
            </w:r>
            <w:r w:rsidR="00D63DB4">
              <w:rPr>
                <w:noProof/>
                <w:webHidden/>
              </w:rPr>
              <w:tab/>
            </w:r>
            <w:r w:rsidR="00D63DB4">
              <w:rPr>
                <w:noProof/>
                <w:webHidden/>
              </w:rPr>
              <w:fldChar w:fldCharType="begin"/>
            </w:r>
            <w:r w:rsidR="00D63DB4">
              <w:rPr>
                <w:noProof/>
                <w:webHidden/>
              </w:rPr>
              <w:instrText xml:space="preserve"> PAGEREF _Toc535841561 \h </w:instrText>
            </w:r>
            <w:r w:rsidR="00D63DB4">
              <w:rPr>
                <w:noProof/>
                <w:webHidden/>
              </w:rPr>
            </w:r>
            <w:r w:rsidR="00D63DB4">
              <w:rPr>
                <w:noProof/>
                <w:webHidden/>
              </w:rPr>
              <w:fldChar w:fldCharType="separate"/>
            </w:r>
            <w:r w:rsidR="002972C8">
              <w:rPr>
                <w:noProof/>
                <w:webHidden/>
              </w:rPr>
              <w:t>2</w:t>
            </w:r>
            <w:r w:rsidR="00D63DB4">
              <w:rPr>
                <w:noProof/>
                <w:webHidden/>
              </w:rPr>
              <w:fldChar w:fldCharType="end"/>
            </w:r>
          </w:hyperlink>
        </w:p>
        <w:p w:rsidR="00D63DB4" w:rsidRDefault="002857DC">
          <w:pPr>
            <w:pStyle w:val="TDC1"/>
            <w:rPr>
              <w:rFonts w:eastAsiaTheme="minorEastAsia"/>
              <w:noProof/>
              <w:lang w:eastAsia="es-MX"/>
            </w:rPr>
          </w:pPr>
          <w:hyperlink w:anchor="_Toc535841562" w:history="1">
            <w:r w:rsidR="00D63DB4" w:rsidRPr="0052305E">
              <w:rPr>
                <w:rStyle w:val="Hipervnculo"/>
                <w:rFonts w:ascii="Palatino Linotype" w:hAnsi="Palatino Linotype"/>
                <w:b/>
                <w:noProof/>
              </w:rPr>
              <w:t>II.</w:t>
            </w:r>
            <w:r w:rsidR="00D63DB4">
              <w:rPr>
                <w:rFonts w:eastAsiaTheme="minorEastAsia"/>
                <w:noProof/>
                <w:lang w:eastAsia="es-MX"/>
              </w:rPr>
              <w:tab/>
            </w:r>
            <w:r w:rsidR="00D63DB4" w:rsidRPr="0052305E">
              <w:rPr>
                <w:rStyle w:val="Hipervnculo"/>
                <w:rFonts w:ascii="Palatino Linotype" w:hAnsi="Palatino Linotype"/>
                <w:b/>
                <w:noProof/>
              </w:rPr>
              <w:t>De los requerimientos planteados en el recurso de revisión.</w:t>
            </w:r>
            <w:r w:rsidR="00D63DB4">
              <w:rPr>
                <w:noProof/>
                <w:webHidden/>
              </w:rPr>
              <w:tab/>
            </w:r>
            <w:r w:rsidR="00D63DB4">
              <w:rPr>
                <w:noProof/>
                <w:webHidden/>
              </w:rPr>
              <w:fldChar w:fldCharType="begin"/>
            </w:r>
            <w:r w:rsidR="00D63DB4">
              <w:rPr>
                <w:noProof/>
                <w:webHidden/>
              </w:rPr>
              <w:instrText xml:space="preserve"> PAGEREF _Toc535841562 \h </w:instrText>
            </w:r>
            <w:r w:rsidR="00D63DB4">
              <w:rPr>
                <w:noProof/>
                <w:webHidden/>
              </w:rPr>
            </w:r>
            <w:r w:rsidR="00D63DB4">
              <w:rPr>
                <w:noProof/>
                <w:webHidden/>
              </w:rPr>
              <w:fldChar w:fldCharType="separate"/>
            </w:r>
            <w:r w:rsidR="002972C8">
              <w:rPr>
                <w:noProof/>
                <w:webHidden/>
              </w:rPr>
              <w:t>3</w:t>
            </w:r>
            <w:r w:rsidR="00D63DB4">
              <w:rPr>
                <w:noProof/>
                <w:webHidden/>
              </w:rPr>
              <w:fldChar w:fldCharType="end"/>
            </w:r>
          </w:hyperlink>
        </w:p>
        <w:p w:rsidR="00D63DB4" w:rsidRDefault="002857DC">
          <w:pPr>
            <w:pStyle w:val="TDC1"/>
            <w:rPr>
              <w:rFonts w:eastAsiaTheme="minorEastAsia"/>
              <w:noProof/>
              <w:lang w:eastAsia="es-MX"/>
            </w:rPr>
          </w:pPr>
          <w:hyperlink w:anchor="_Toc535841563" w:history="1">
            <w:r w:rsidR="00D63DB4" w:rsidRPr="0052305E">
              <w:rPr>
                <w:rStyle w:val="Hipervnculo"/>
                <w:rFonts w:ascii="Palatino Linotype" w:hAnsi="Palatino Linotype"/>
                <w:b/>
                <w:noProof/>
              </w:rPr>
              <w:t>III.</w:t>
            </w:r>
            <w:r w:rsidR="00D63DB4">
              <w:rPr>
                <w:rFonts w:eastAsiaTheme="minorEastAsia"/>
                <w:noProof/>
                <w:lang w:eastAsia="es-MX"/>
              </w:rPr>
              <w:tab/>
            </w:r>
            <w:r w:rsidR="00D63DB4" w:rsidRPr="0052305E">
              <w:rPr>
                <w:rStyle w:val="Hipervnculo"/>
                <w:rFonts w:ascii="Palatino Linotype" w:hAnsi="Palatino Linotype"/>
                <w:b/>
                <w:noProof/>
              </w:rPr>
              <w:t>Sobre los actos de autoridad.</w:t>
            </w:r>
            <w:r w:rsidR="00D63DB4">
              <w:rPr>
                <w:noProof/>
                <w:webHidden/>
              </w:rPr>
              <w:tab/>
            </w:r>
            <w:r w:rsidR="00D63DB4">
              <w:rPr>
                <w:noProof/>
                <w:webHidden/>
              </w:rPr>
              <w:fldChar w:fldCharType="begin"/>
            </w:r>
            <w:r w:rsidR="00D63DB4">
              <w:rPr>
                <w:noProof/>
                <w:webHidden/>
              </w:rPr>
              <w:instrText xml:space="preserve"> PAGEREF _Toc535841563 \h </w:instrText>
            </w:r>
            <w:r w:rsidR="00D63DB4">
              <w:rPr>
                <w:noProof/>
                <w:webHidden/>
              </w:rPr>
            </w:r>
            <w:r w:rsidR="00D63DB4">
              <w:rPr>
                <w:noProof/>
                <w:webHidden/>
              </w:rPr>
              <w:fldChar w:fldCharType="separate"/>
            </w:r>
            <w:r w:rsidR="002972C8">
              <w:rPr>
                <w:noProof/>
                <w:webHidden/>
              </w:rPr>
              <w:t>5</w:t>
            </w:r>
            <w:r w:rsidR="00D63DB4">
              <w:rPr>
                <w:noProof/>
                <w:webHidden/>
              </w:rPr>
              <w:fldChar w:fldCharType="end"/>
            </w:r>
          </w:hyperlink>
        </w:p>
        <w:p w:rsidR="00D63DB4" w:rsidRDefault="002857DC">
          <w:pPr>
            <w:pStyle w:val="TDC1"/>
            <w:rPr>
              <w:rFonts w:eastAsiaTheme="minorEastAsia"/>
              <w:noProof/>
              <w:lang w:eastAsia="es-MX"/>
            </w:rPr>
          </w:pPr>
          <w:hyperlink w:anchor="_Toc535841564" w:history="1">
            <w:r w:rsidR="00D63DB4" w:rsidRPr="0052305E">
              <w:rPr>
                <w:rStyle w:val="Hipervnculo"/>
                <w:rFonts w:ascii="Palatino Linotype" w:hAnsi="Palatino Linotype" w:cs="Arial"/>
                <w:b/>
                <w:noProof/>
              </w:rPr>
              <w:t>IV. Conclusión.</w:t>
            </w:r>
            <w:r w:rsidR="00D63DB4">
              <w:rPr>
                <w:noProof/>
                <w:webHidden/>
              </w:rPr>
              <w:tab/>
            </w:r>
            <w:r w:rsidR="00D63DB4">
              <w:rPr>
                <w:noProof/>
                <w:webHidden/>
              </w:rPr>
              <w:fldChar w:fldCharType="begin"/>
            </w:r>
            <w:r w:rsidR="00D63DB4">
              <w:rPr>
                <w:noProof/>
                <w:webHidden/>
              </w:rPr>
              <w:instrText xml:space="preserve"> PAGEREF _Toc535841564 \h </w:instrText>
            </w:r>
            <w:r w:rsidR="00D63DB4">
              <w:rPr>
                <w:noProof/>
                <w:webHidden/>
              </w:rPr>
            </w:r>
            <w:r w:rsidR="00D63DB4">
              <w:rPr>
                <w:noProof/>
                <w:webHidden/>
              </w:rPr>
              <w:fldChar w:fldCharType="separate"/>
            </w:r>
            <w:r w:rsidR="002972C8">
              <w:rPr>
                <w:noProof/>
                <w:webHidden/>
              </w:rPr>
              <w:t>14</w:t>
            </w:r>
            <w:r w:rsidR="00D63DB4">
              <w:rPr>
                <w:noProof/>
                <w:webHidden/>
              </w:rPr>
              <w:fldChar w:fldCharType="end"/>
            </w:r>
          </w:hyperlink>
        </w:p>
        <w:p w:rsidR="0046491C" w:rsidRPr="00D63DB4" w:rsidRDefault="0046491C" w:rsidP="00C46A04">
          <w:pPr>
            <w:pStyle w:val="TDC1"/>
            <w:rPr>
              <w:rFonts w:ascii="Palatino Linotype" w:hAnsi="Palatino Linotype"/>
              <w:sz w:val="24"/>
            </w:rPr>
          </w:pPr>
          <w:r w:rsidRPr="00D63DB4">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841561"/>
      <w:r w:rsidRPr="0001046D">
        <w:rPr>
          <w:rFonts w:ascii="Palatino Linotype" w:hAnsi="Palatino Linotype"/>
          <w:b/>
          <w:color w:val="auto"/>
          <w:sz w:val="24"/>
          <w:szCs w:val="24"/>
        </w:rPr>
        <w:lastRenderedPageBreak/>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5021A4">
        <w:rPr>
          <w:rFonts w:ascii="Palatino Linotype" w:hAnsi="Palatino Linotype" w:cs="Arial"/>
          <w:sz w:val="24"/>
          <w:szCs w:val="24"/>
        </w:rPr>
        <w:t>Segunda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021A4">
        <w:rPr>
          <w:rFonts w:ascii="Palatino Linotype" w:hAnsi="Palatino Linotype" w:cs="Arial"/>
          <w:sz w:val="24"/>
          <w:szCs w:val="24"/>
        </w:rPr>
        <w:t>dieciséis</w:t>
      </w:r>
      <w:r w:rsidRPr="00E34F08">
        <w:rPr>
          <w:rFonts w:ascii="Palatino Linotype" w:hAnsi="Palatino Linotype" w:cs="Arial"/>
          <w:sz w:val="24"/>
          <w:szCs w:val="24"/>
        </w:rPr>
        <w:t xml:space="preserve"> (</w:t>
      </w:r>
      <w:r w:rsidR="005021A4">
        <w:rPr>
          <w:rFonts w:ascii="Palatino Linotype" w:hAnsi="Palatino Linotype" w:cs="Arial"/>
          <w:sz w:val="24"/>
          <w:szCs w:val="24"/>
        </w:rPr>
        <w:t>16</w:t>
      </w:r>
      <w:r w:rsidR="00225026" w:rsidRPr="00E34F08">
        <w:rPr>
          <w:rFonts w:ascii="Palatino Linotype" w:hAnsi="Palatino Linotype" w:cs="Arial"/>
          <w:sz w:val="24"/>
          <w:szCs w:val="24"/>
        </w:rPr>
        <w:t xml:space="preserve">) de </w:t>
      </w:r>
      <w:r w:rsidR="005021A4">
        <w:rPr>
          <w:rFonts w:ascii="Palatino Linotype" w:hAnsi="Palatino Linotype" w:cs="Arial"/>
          <w:sz w:val="24"/>
          <w:szCs w:val="24"/>
        </w:rPr>
        <w:t>enero</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5021A4" w:rsidRPr="00E34F08">
        <w:rPr>
          <w:rFonts w:ascii="Palatino Linotype" w:hAnsi="Palatino Linotype" w:cs="Arial"/>
          <w:sz w:val="24"/>
          <w:szCs w:val="24"/>
        </w:rPr>
        <w:t xml:space="preserve">al que se le asignó el número de expediente </w:t>
      </w:r>
      <w:r w:rsidR="005021A4">
        <w:rPr>
          <w:rFonts w:ascii="Palatino Linotype" w:eastAsia="Times New Roman" w:hAnsi="Palatino Linotype" w:cs="Arial"/>
          <w:b/>
          <w:bCs/>
          <w:sz w:val="24"/>
          <w:szCs w:val="24"/>
          <w:lang w:eastAsia="es-ES"/>
        </w:rPr>
        <w:t>04</w:t>
      </w:r>
      <w:r w:rsidR="00C31B36">
        <w:rPr>
          <w:rFonts w:ascii="Palatino Linotype" w:eastAsia="Times New Roman" w:hAnsi="Palatino Linotype" w:cs="Arial"/>
          <w:b/>
          <w:bCs/>
          <w:sz w:val="24"/>
          <w:szCs w:val="24"/>
          <w:lang w:eastAsia="es-ES"/>
        </w:rPr>
        <w:t>191</w:t>
      </w:r>
      <w:r w:rsidR="005021A4">
        <w:rPr>
          <w:rFonts w:ascii="Palatino Linotype" w:eastAsia="Times New Roman" w:hAnsi="Palatino Linotype" w:cs="Arial"/>
          <w:b/>
          <w:bCs/>
          <w:sz w:val="24"/>
          <w:szCs w:val="24"/>
          <w:lang w:eastAsia="es-ES"/>
        </w:rPr>
        <w:t>/INFOEM/IP/RR/2018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5021A4">
        <w:rPr>
          <w:rFonts w:ascii="Palatino Linotype" w:hAnsi="Palatino Linotype" w:cs="Arial"/>
          <w:sz w:val="24"/>
          <w:szCs w:val="24"/>
        </w:rPr>
        <w:t>el</w:t>
      </w:r>
      <w:r w:rsidR="00FC16D9">
        <w:rPr>
          <w:rFonts w:ascii="Palatino Linotype" w:hAnsi="Palatino Linotype" w:cs="Arial"/>
          <w:sz w:val="24"/>
          <w:szCs w:val="24"/>
        </w:rPr>
        <w:t xml:space="preserve"> </w:t>
      </w:r>
      <w:r w:rsidR="005021A4">
        <w:rPr>
          <w:rFonts w:ascii="Palatino Linotype" w:eastAsia="Calibri" w:hAnsi="Palatino Linotype" w:cs="Times New Roman"/>
          <w:b/>
          <w:sz w:val="24"/>
          <w:szCs w:val="24"/>
          <w:lang w:val="es-ES" w:eastAsia="es-ES"/>
        </w:rPr>
        <w:t xml:space="preserve">Ayuntamiento de </w:t>
      </w:r>
      <w:r w:rsidR="00C31B36">
        <w:rPr>
          <w:rFonts w:ascii="Palatino Linotype" w:eastAsia="Calibri" w:hAnsi="Palatino Linotype" w:cs="Times New Roman"/>
          <w:b/>
          <w:sz w:val="24"/>
          <w:szCs w:val="24"/>
          <w:lang w:val="es-ES" w:eastAsia="es-ES"/>
        </w:rPr>
        <w:t>Naucalpan de Juárez</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Resolutora </w:t>
      </w:r>
      <w:r w:rsidR="00F31398">
        <w:rPr>
          <w:rFonts w:ascii="Palatino Linotype" w:hAnsi="Palatino Linotype" w:cs="Arial"/>
          <w:sz w:val="24"/>
          <w:szCs w:val="24"/>
        </w:rPr>
        <w:t>concluyó</w:t>
      </w:r>
      <w:r>
        <w:rPr>
          <w:rFonts w:ascii="Palatino Linotype" w:hAnsi="Palatino Linotype" w:cs="Arial"/>
          <w:sz w:val="24"/>
          <w:szCs w:val="24"/>
        </w:rPr>
        <w:t xml:space="preserve"> que resultaban </w:t>
      </w:r>
      <w:r w:rsidR="00F31398">
        <w:rPr>
          <w:rFonts w:ascii="Palatino Linotype" w:hAnsi="Palatino Linotype" w:cs="Arial"/>
          <w:sz w:val="24"/>
          <w:szCs w:val="24"/>
        </w:rPr>
        <w:t>infundadas</w:t>
      </w:r>
      <w:r w:rsidR="0046491C" w:rsidRPr="0001046D">
        <w:rPr>
          <w:rFonts w:ascii="Palatino Linotype" w:hAnsi="Palatino Linotype" w:cs="Arial"/>
          <w:sz w:val="24"/>
          <w:szCs w:val="24"/>
        </w:rPr>
        <w:t xml:space="preserve">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5413BD">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F31398">
        <w:rPr>
          <w:rFonts w:ascii="Palatino Linotype" w:hAnsi="Palatino Linotype" w:cs="Arial"/>
          <w:sz w:val="24"/>
          <w:szCs w:val="24"/>
        </w:rPr>
        <w:t>Segundo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F31398">
        <w:rPr>
          <w:rFonts w:ascii="Palatino Linotype" w:hAnsi="Palatino Linotype" w:cs="Arial"/>
          <w:sz w:val="24"/>
          <w:szCs w:val="24"/>
        </w:rPr>
        <w:t xml:space="preserve">determinó </w:t>
      </w:r>
      <w:r w:rsidR="00F31398">
        <w:rPr>
          <w:rFonts w:ascii="Palatino Linotype" w:hAnsi="Palatino Linotype" w:cs="Arial"/>
          <w:b/>
          <w:sz w:val="24"/>
          <w:szCs w:val="24"/>
        </w:rPr>
        <w:t>SOBRESEER</w:t>
      </w:r>
      <w:r w:rsidR="008E1DCC">
        <w:rPr>
          <w:rFonts w:ascii="Palatino Linotype" w:hAnsi="Palatino Linotype" w:cs="Arial"/>
          <w:sz w:val="24"/>
          <w:szCs w:val="24"/>
        </w:rPr>
        <w:t xml:space="preserve"> </w:t>
      </w:r>
      <w:r w:rsidR="00F31398">
        <w:rPr>
          <w:rFonts w:ascii="Palatino Linotype" w:hAnsi="Palatino Linotype" w:cs="Arial"/>
          <w:sz w:val="24"/>
          <w:szCs w:val="24"/>
        </w:rPr>
        <w:t>el recurso de revisión</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w:t>
      </w:r>
      <w:r w:rsidR="00F31398">
        <w:rPr>
          <w:rFonts w:ascii="Palatino Linotype" w:hAnsi="Palatino Linotype" w:cs="Arial"/>
          <w:sz w:val="24"/>
          <w:szCs w:val="24"/>
        </w:rPr>
        <w:t>sustanciado el sobreseimiento mediante la fracción V del numeral 192 de la Ley de Transparencia y Acceso a la Información Pública del Estado de México y Municipios, cuando la fracción que actualizó el supuesto jurídico de la presente controversia fue la III.</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5841562"/>
      <w:r w:rsidRPr="0001046D">
        <w:rPr>
          <w:rFonts w:ascii="Palatino Linotype" w:hAnsi="Palatino Linotype"/>
          <w:b/>
          <w:color w:val="auto"/>
          <w:sz w:val="24"/>
          <w:szCs w:val="24"/>
        </w:rPr>
        <w:lastRenderedPageBreak/>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C31B36"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2972C8">
        <w:rPr>
          <w:rFonts w:ascii="Palatino Linotype" w:hAnsi="Palatino Linotype" w:cs="Arial"/>
          <w:sz w:val="24"/>
          <w:szCs w:val="24"/>
        </w:rPr>
        <w:t xml:space="preserve">del </w:t>
      </w:r>
      <w:r w:rsidR="002972C8" w:rsidRPr="002972C8">
        <w:rPr>
          <w:rFonts w:ascii="Palatino Linotype" w:hAnsi="Palatino Linotype" w:cs="Arial"/>
          <w:b/>
          <w:sz w:val="24"/>
          <w:szCs w:val="24"/>
        </w:rPr>
        <w:t>Ayuntamiento de Naucalpan de Juárez</w:t>
      </w:r>
      <w:r w:rsidR="002972C8">
        <w:rPr>
          <w:rFonts w:ascii="Palatino Linotype" w:hAnsi="Palatino Linotype" w:cs="Arial"/>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C31B36" w:rsidRPr="009B4E7D" w:rsidRDefault="00C31B36" w:rsidP="00C31B36">
      <w:pPr>
        <w:pStyle w:val="Prrafodelista"/>
        <w:tabs>
          <w:tab w:val="left" w:pos="426"/>
        </w:tabs>
        <w:spacing w:after="0" w:line="360" w:lineRule="auto"/>
        <w:ind w:left="0"/>
        <w:jc w:val="both"/>
        <w:rPr>
          <w:rFonts w:ascii="Palatino Linotype" w:eastAsia="Times New Roman" w:hAnsi="Palatino Linotype" w:cs="Times New Roman"/>
          <w:i/>
          <w:sz w:val="24"/>
          <w:szCs w:val="24"/>
          <w:lang w:val="es-ES_tradnl" w:eastAsia="es-ES"/>
        </w:rPr>
      </w:pPr>
    </w:p>
    <w:p w:rsidR="009B4E7D" w:rsidRDefault="00FF3CDD" w:rsidP="00665F22">
      <w:pPr>
        <w:spacing w:line="360" w:lineRule="auto"/>
        <w:ind w:left="567" w:right="567"/>
        <w:jc w:val="both"/>
        <w:rPr>
          <w:rFonts w:ascii="Palatino Linotype" w:eastAsia="Calibri" w:hAnsi="Palatino Linotype" w:cs="Tahoma"/>
          <w:bCs/>
          <w:lang w:val="es-ES"/>
        </w:rPr>
      </w:pPr>
      <w:r w:rsidRPr="00C31B36">
        <w:rPr>
          <w:rFonts w:ascii="Palatino Linotype" w:hAnsi="Palatino Linotype" w:cs="Arial"/>
          <w:i/>
          <w:lang w:eastAsia="es-MX"/>
        </w:rPr>
        <w:t>“</w:t>
      </w:r>
      <w:r w:rsidR="00C31B36" w:rsidRPr="00C31B36">
        <w:rPr>
          <w:rFonts w:ascii="Palatino Linotype" w:eastAsia="Calibri" w:hAnsi="Palatino Linotype" w:cs="Tahoma"/>
          <w:bCs/>
          <w:i/>
          <w:lang w:val="es-ES"/>
        </w:rPr>
        <w:t xml:space="preserve">Con fundamento en el artículo 92 fracc. XXXII de la Ley adjetiva de la materia, solicito la información del costo y presupuesto que ha tenido la colocación e instalacion de las jardineras que se encuentran ubicadas en la banqueta de la esquina de la via Dr Gustavo Baz , junto al cruce de la avenida 16 de septiembre( como referencia frente de la zapateria la rivera) esto en la colonia centro del Municipio de Naucalpan de Juarez, del mismo modo solicito conocer el departamento del ayuntamiento de Naucalpan de Juarez, que emitio los permisos y licencias para su instalación y por ultimo saber si la remodelacion de la banqueta y la instalacion de las jardineras fueron peticionadas o requeridas por parte de algún servidor </w:t>
      </w:r>
      <w:r w:rsidR="00C31B36" w:rsidRPr="00C31B36">
        <w:rPr>
          <w:rFonts w:ascii="Palatino Linotype" w:eastAsia="Calibri" w:hAnsi="Palatino Linotype" w:cs="Tahoma"/>
          <w:bCs/>
          <w:i/>
          <w:lang w:val="es-ES"/>
        </w:rPr>
        <w:t>publico</w:t>
      </w:r>
      <w:r w:rsidR="00C31B36" w:rsidRPr="00C31B36">
        <w:rPr>
          <w:rFonts w:ascii="Palatino Linotype" w:eastAsia="Calibri" w:hAnsi="Palatino Linotype" w:cs="Tahoma"/>
          <w:bCs/>
          <w:i/>
          <w:lang w:val="es-ES"/>
        </w:rPr>
        <w:t>.</w:t>
      </w:r>
      <w:r w:rsidR="00C31B36" w:rsidRPr="00C31B36">
        <w:rPr>
          <w:rFonts w:ascii="Palatino Linotype" w:eastAsia="Calibri" w:hAnsi="Palatino Linotype" w:cs="Tahoma"/>
          <w:bCs/>
          <w:i/>
          <w:lang w:val="es-ES"/>
        </w:rPr>
        <w:t>”</w:t>
      </w:r>
      <w:r w:rsidR="00C31B36" w:rsidRPr="00C31B36">
        <w:rPr>
          <w:rFonts w:ascii="Palatino Linotype" w:eastAsia="Calibri" w:hAnsi="Palatino Linotype" w:cs="Tahoma"/>
          <w:bCs/>
          <w:lang w:val="es-ES"/>
        </w:rPr>
        <w:t xml:space="preserve"> (Sic)</w:t>
      </w:r>
    </w:p>
    <w:p w:rsidR="00C31B36" w:rsidRPr="00C31B36" w:rsidRDefault="00C31B36" w:rsidP="00C31B36">
      <w:pPr>
        <w:spacing w:line="276" w:lineRule="auto"/>
        <w:ind w:left="567" w:right="567"/>
        <w:jc w:val="both"/>
        <w:rPr>
          <w:rFonts w:ascii="Palatino Linotype" w:eastAsia="Calibri" w:hAnsi="Palatino Linotype" w:cs="Tahoma"/>
          <w:bCs/>
          <w:lang w:val="es-ES"/>
        </w:rPr>
      </w:pPr>
    </w:p>
    <w:p w:rsidR="00AE4797" w:rsidRPr="009B4E7D" w:rsidRDefault="00F31398"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Resulta especialmente importante mencionar que el</w:t>
      </w:r>
      <w:r w:rsidR="00AE4797">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Pr>
          <w:rFonts w:ascii="Palatino Linotype" w:hAnsi="Palatino Linotype" w:cs="Arial"/>
          <w:sz w:val="24"/>
          <w:szCs w:val="24"/>
        </w:rPr>
        <w:t>fue omiso en atender la solicitud de información.</w:t>
      </w:r>
    </w:p>
    <w:p w:rsidR="009B4E7D" w:rsidRPr="00F31398" w:rsidRDefault="009B4E7D" w:rsidP="00F31398">
      <w:pPr>
        <w:spacing w:after="0" w:line="360" w:lineRule="auto"/>
        <w:ind w:right="616"/>
        <w:jc w:val="both"/>
        <w:rPr>
          <w:rFonts w:ascii="Palatino Linotype" w:eastAsia="Times New Roman" w:hAnsi="Palatino Linotype" w:cs="Times New Roman"/>
          <w:sz w:val="24"/>
          <w:szCs w:val="24"/>
          <w:lang w:val="es-ES_tradnl" w:eastAsia="es-ES"/>
        </w:rPr>
      </w:pPr>
    </w:p>
    <w:p w:rsidR="0094239C" w:rsidRPr="004440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4010CE">
        <w:rPr>
          <w:rFonts w:ascii="Palatino Linotype" w:hAnsi="Palatino Linotype" w:cs="Arial"/>
        </w:rPr>
        <w:t xml:space="preserve">particular, por medio del recurso de revisión </w:t>
      </w:r>
      <w:r w:rsidR="00F31398">
        <w:rPr>
          <w:rFonts w:ascii="Palatino Linotype" w:hAnsi="Palatino Linotype" w:cs="Arial"/>
          <w:b/>
        </w:rPr>
        <w:t>04</w:t>
      </w:r>
      <w:r w:rsidR="00C31B36">
        <w:rPr>
          <w:rFonts w:ascii="Palatino Linotype" w:hAnsi="Palatino Linotype" w:cs="Arial"/>
          <w:b/>
        </w:rPr>
        <w:t>191</w:t>
      </w:r>
      <w:r w:rsidR="004010CE">
        <w:rPr>
          <w:rFonts w:ascii="Palatino Linotype" w:hAnsi="Palatino Linotype" w:cs="Arial"/>
          <w:b/>
        </w:rPr>
        <w:t>/INFOEM/IP/RR/2018</w:t>
      </w:r>
      <w:r w:rsidR="004010CE">
        <w:rPr>
          <w:rFonts w:ascii="Palatino Linotype" w:hAnsi="Palatino Linotype" w:cs="Arial"/>
        </w:rPr>
        <w:t>,</w:t>
      </w:r>
      <w:r w:rsidR="005F3760">
        <w:rPr>
          <w:rFonts w:ascii="Palatino Linotype" w:hAnsi="Palatino Linotype" w:cs="Arial"/>
        </w:rPr>
        <w:t xml:space="preserve"> </w:t>
      </w:r>
      <w:r w:rsidR="00F31398">
        <w:rPr>
          <w:rFonts w:ascii="Palatino Linotype" w:hAnsi="Palatino Linotype" w:cs="Arial"/>
        </w:rPr>
        <w:t xml:space="preserve">refirió como acto impugnado la falta de respuesta por parte del </w:t>
      </w:r>
      <w:r w:rsidR="00F31398">
        <w:rPr>
          <w:rFonts w:ascii="Palatino Linotype" w:hAnsi="Palatino Linotype" w:cs="Arial"/>
          <w:b/>
        </w:rPr>
        <w:t>SUJETO OBLIGADO</w:t>
      </w:r>
      <w:r w:rsidR="00F31398">
        <w:rPr>
          <w:rFonts w:ascii="Palatino Linotype" w:hAnsi="Palatino Linotype" w:cs="Arial"/>
        </w:rPr>
        <w:t xml:space="preserve">, </w:t>
      </w:r>
      <w:r w:rsidR="00076D06">
        <w:rPr>
          <w:rFonts w:ascii="Palatino Linotype" w:hAnsi="Palatino Linotype" w:cs="Arial"/>
        </w:rPr>
        <w:t>y señalando como razones o motivos de inconformidad la violación a su derecho a la información.</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076D06"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076D06">
        <w:rPr>
          <w:rFonts w:ascii="Palatino Linotype" w:hAnsi="Palatino Linotype" w:cs="Arial"/>
          <w:sz w:val="24"/>
          <w:szCs w:val="24"/>
        </w:rPr>
        <w:t>, a pesar de 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076D06">
        <w:rPr>
          <w:rFonts w:ascii="Palatino Linotype" w:hAnsi="Palatino Linotype" w:cs="Arial"/>
          <w:sz w:val="24"/>
          <w:szCs w:val="24"/>
        </w:rPr>
        <w:t xml:space="preserve">no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076D06">
        <w:rPr>
          <w:rFonts w:ascii="Palatino Linotype" w:hAnsi="Palatino Linotype" w:cs="Arial"/>
          <w:sz w:val="24"/>
          <w:szCs w:val="24"/>
        </w:rPr>
        <w:t xml:space="preserve"> en el momento procesal oportuno, hizo uso del periodo de instrucción durante la sustanciación del recurso de revisión a efecto de entregar su informe justificado dando respuesta a la solicitud primigenia.</w:t>
      </w:r>
    </w:p>
    <w:p w:rsidR="00076D06" w:rsidRPr="00076D06" w:rsidRDefault="00076D06" w:rsidP="00076D06">
      <w:pPr>
        <w:pStyle w:val="Prrafodelista"/>
        <w:rPr>
          <w:rFonts w:ascii="Palatino Linotype" w:hAnsi="Palatino Linotype" w:cs="Arial"/>
          <w:sz w:val="24"/>
          <w:szCs w:val="24"/>
        </w:rPr>
      </w:pPr>
    </w:p>
    <w:p w:rsidR="0046491C" w:rsidRDefault="004010C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w:t>
      </w:r>
      <w:r w:rsidR="00076D06">
        <w:rPr>
          <w:rFonts w:ascii="Palatino Linotype" w:hAnsi="Palatino Linotype" w:cs="Arial"/>
          <w:sz w:val="24"/>
          <w:szCs w:val="24"/>
        </w:rPr>
        <w:t xml:space="preserve">Misma respuesta que fue analizada por la Ponencia Resolutora mediante un cuadro comparativo a efecto de cotejar cada uno de los requerimientos señalados en la solicitud de información </w:t>
      </w:r>
      <w:r w:rsidR="003A79AE">
        <w:rPr>
          <w:rFonts w:ascii="Palatino Linotype" w:hAnsi="Palatino Linotype" w:cs="Arial"/>
          <w:sz w:val="24"/>
          <w:szCs w:val="24"/>
        </w:rPr>
        <w:t>directamente con la respuesta otorgada mediante el informe justificado, concluyendo que la solicitud había sido colmada en su totalidad.</w:t>
      </w:r>
    </w:p>
    <w:p w:rsidR="00E30CD7" w:rsidRPr="00E30CD7" w:rsidRDefault="00E30CD7" w:rsidP="00076D06">
      <w:pPr>
        <w:pStyle w:val="Sinespaciado"/>
        <w:ind w:right="567"/>
        <w:jc w:val="both"/>
        <w:rPr>
          <w:rFonts w:ascii="Palatino Linotype" w:hAnsi="Palatino Linotype"/>
          <w:i/>
        </w:rPr>
      </w:pPr>
    </w:p>
    <w:p w:rsidR="003A79AE" w:rsidRDefault="003A79AE"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Así las cosas, una vez demostrado lo anterior, la Ponencia Resolutora manifestó lo siguiente:</w:t>
      </w:r>
    </w:p>
    <w:p w:rsidR="00C31B36" w:rsidRPr="00C31B36" w:rsidRDefault="00C31B36" w:rsidP="00C31B36">
      <w:pPr>
        <w:pStyle w:val="Prrafodelista"/>
        <w:tabs>
          <w:tab w:val="left" w:pos="426"/>
        </w:tabs>
        <w:spacing w:before="240" w:after="240" w:line="360" w:lineRule="auto"/>
        <w:ind w:left="567" w:rightChars="567" w:right="1247"/>
        <w:jc w:val="both"/>
        <w:rPr>
          <w:rFonts w:ascii="Palatino Linotype" w:hAnsi="Palatino Linotype" w:cs="Arial"/>
          <w:i/>
          <w:sz w:val="14"/>
        </w:rPr>
      </w:pPr>
    </w:p>
    <w:p w:rsidR="00C31B36" w:rsidRPr="00C31B36" w:rsidRDefault="00C31B36" w:rsidP="00B6506D">
      <w:pPr>
        <w:pStyle w:val="Prrafodelista"/>
        <w:tabs>
          <w:tab w:val="left" w:pos="426"/>
        </w:tabs>
        <w:spacing w:before="240" w:after="240" w:line="360" w:lineRule="auto"/>
        <w:ind w:left="567" w:right="100"/>
        <w:jc w:val="both"/>
        <w:rPr>
          <w:rFonts w:ascii="Palatino Linotype" w:hAnsi="Palatino Linotype" w:cs="Arial"/>
          <w:i/>
        </w:rPr>
      </w:pPr>
      <w:r>
        <w:rPr>
          <w:rFonts w:ascii="Palatino Linotype" w:hAnsi="Palatino Linotype" w:cs="Arial"/>
          <w:i/>
        </w:rPr>
        <w:t>“</w:t>
      </w:r>
      <w:r w:rsidRPr="00C31B36">
        <w:rPr>
          <w:rFonts w:ascii="Palatino Linotype" w:hAnsi="Palatino Linotype" w:cs="Arial"/>
          <w:i/>
        </w:rPr>
        <w:t xml:space="preserve">Derivado de lo expuesto, se estima que se actualiza el supuesto establecido en la </w:t>
      </w:r>
      <w:r w:rsidRPr="00C31B36">
        <w:rPr>
          <w:rFonts w:ascii="Palatino Linotype" w:hAnsi="Palatino Linotype" w:cs="Arial"/>
          <w:b/>
          <w:i/>
        </w:rPr>
        <w:t>fracción V del Artículo 192 de la Ley de la materia</w:t>
      </w:r>
      <w:r w:rsidRPr="00C31B36">
        <w:rPr>
          <w:rFonts w:ascii="Palatino Linotype" w:hAnsi="Palatino Linotype" w:cs="Arial"/>
          <w:i/>
        </w:rPr>
        <w:t>, que determina lo siguiente que el recurso será sobreseído cuando una vez admitido, por cualquier motivo quede sin materia el Recurso.</w:t>
      </w:r>
    </w:p>
    <w:p w:rsidR="00C31B36" w:rsidRPr="00C31B36" w:rsidRDefault="00C31B36" w:rsidP="00B6506D">
      <w:pPr>
        <w:pStyle w:val="Prrafodelista"/>
        <w:tabs>
          <w:tab w:val="left" w:pos="426"/>
        </w:tabs>
        <w:spacing w:before="240" w:after="240" w:line="360" w:lineRule="auto"/>
        <w:ind w:left="567" w:right="100"/>
        <w:jc w:val="both"/>
        <w:rPr>
          <w:rFonts w:ascii="Palatino Linotype" w:hAnsi="Palatino Linotype" w:cs="Arial"/>
          <w:i/>
          <w:sz w:val="16"/>
        </w:rPr>
      </w:pPr>
    </w:p>
    <w:p w:rsidR="00C31B36" w:rsidRPr="00C31B36" w:rsidRDefault="00C31B36" w:rsidP="00B6506D">
      <w:pPr>
        <w:pStyle w:val="Prrafodelista"/>
        <w:tabs>
          <w:tab w:val="left" w:pos="426"/>
        </w:tabs>
        <w:spacing w:before="240" w:after="240" w:line="360" w:lineRule="auto"/>
        <w:ind w:left="567" w:right="100"/>
        <w:jc w:val="both"/>
        <w:rPr>
          <w:rFonts w:ascii="Palatino Linotype" w:hAnsi="Palatino Linotype" w:cs="Arial"/>
          <w:i/>
        </w:rPr>
      </w:pPr>
      <w:r w:rsidRPr="00C31B36">
        <w:rPr>
          <w:rFonts w:ascii="Palatino Linotype" w:hAnsi="Palatino Linotype" w:cs="Arial"/>
          <w:i/>
        </w:rPr>
        <w:t>En este sentido, toda vez que vía Informe Justificado el Sujeto Obligado hizo entrega de la información solicitada, acto que deja sin materia el Recurso de Revisión que nos ocupa. 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convalidado la entrega del Sujeto Obligado de la información solicitada por el Recurrente, la controversia queda sin materia.</w:t>
      </w:r>
    </w:p>
    <w:p w:rsidR="00C31B36" w:rsidRPr="00C31B36" w:rsidRDefault="00C31B36" w:rsidP="00B6506D">
      <w:pPr>
        <w:pStyle w:val="Prrafodelista"/>
        <w:tabs>
          <w:tab w:val="left" w:pos="426"/>
        </w:tabs>
        <w:spacing w:before="240" w:after="240" w:line="360" w:lineRule="auto"/>
        <w:ind w:left="567" w:right="100"/>
        <w:jc w:val="both"/>
        <w:rPr>
          <w:rFonts w:ascii="Palatino Linotype" w:hAnsi="Palatino Linotype" w:cs="Arial"/>
          <w:i/>
        </w:rPr>
      </w:pPr>
    </w:p>
    <w:p w:rsidR="003A79AE" w:rsidRPr="003A79AE" w:rsidRDefault="00C31B36" w:rsidP="00B6506D">
      <w:pPr>
        <w:pStyle w:val="Prrafodelista"/>
        <w:tabs>
          <w:tab w:val="left" w:pos="426"/>
        </w:tabs>
        <w:spacing w:before="240" w:after="240" w:line="360" w:lineRule="auto"/>
        <w:ind w:left="567" w:right="100"/>
        <w:jc w:val="both"/>
        <w:rPr>
          <w:rFonts w:ascii="Palatino Linotype" w:hAnsi="Palatino Linotype" w:cs="Arial"/>
          <w:i/>
          <w:sz w:val="24"/>
          <w:szCs w:val="24"/>
        </w:rPr>
      </w:pPr>
      <w:r w:rsidRPr="00C31B36">
        <w:rPr>
          <w:rFonts w:ascii="Palatino Linotype" w:hAnsi="Palatino Linotype" w:cs="Arial"/>
          <w:i/>
        </w:rPr>
        <w:t xml:space="preserve">Por lo que, con fundamento en los artículos 186, fracción I y </w:t>
      </w:r>
      <w:r w:rsidRPr="00C31B36">
        <w:rPr>
          <w:rFonts w:ascii="Palatino Linotype" w:hAnsi="Palatino Linotype" w:cs="Arial"/>
          <w:b/>
          <w:i/>
        </w:rPr>
        <w:t>192, fracción V, de la Ley de Transparencia y Acceso a la Información Pública del Estado de México y Municipios</w:t>
      </w:r>
      <w:r w:rsidRPr="00C31B36">
        <w:rPr>
          <w:rFonts w:ascii="Palatino Linotype" w:hAnsi="Palatino Linotype" w:cs="Arial"/>
          <w:i/>
        </w:rPr>
        <w:t>, se SOBRESEE  el recurso de revisión 04191/INFOEM/IP/RR/2018, por quedar sin materia.</w:t>
      </w:r>
      <w:r w:rsidR="003A79AE">
        <w:rPr>
          <w:rFonts w:ascii="Palatino Linotype" w:hAnsi="Palatino Linotype" w:cs="Arial"/>
          <w:i/>
        </w:rPr>
        <w:t>”</w:t>
      </w:r>
      <w:r>
        <w:rPr>
          <w:rFonts w:ascii="Palatino Linotype" w:hAnsi="Palatino Linotype" w:cs="Arial"/>
          <w:i/>
        </w:rPr>
        <w:t xml:space="preserve"> </w:t>
      </w:r>
      <w:r w:rsidRPr="00665F22">
        <w:rPr>
          <w:rFonts w:ascii="Palatino Linotype" w:hAnsi="Palatino Linotype" w:cs="Arial"/>
        </w:rPr>
        <w:t>(Sic)</w:t>
      </w:r>
    </w:p>
    <w:p w:rsidR="003A79AE"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Default="003A79AE" w:rsidP="003A79AE">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De tal manera que la Ponencia Resolutora concluyó que la respuesta contenida en el informe justificado actualizaba la fracción V de</w:t>
      </w:r>
      <w:r w:rsidR="0069743C">
        <w:rPr>
          <w:rFonts w:ascii="Palatino Linotype" w:hAnsi="Palatino Linotype" w:cs="Arial"/>
          <w:sz w:val="24"/>
          <w:szCs w:val="24"/>
        </w:rPr>
        <w:t>l artículo 192</w:t>
      </w:r>
      <w:r>
        <w:rPr>
          <w:rFonts w:ascii="Palatino Linotype" w:hAnsi="Palatino Linotype" w:cs="Arial"/>
          <w:sz w:val="24"/>
          <w:szCs w:val="24"/>
        </w:rPr>
        <w:t xml:space="preserve"> la Ley de Transparencia y Acceso a la Información Pública del Estado de México y Municipios, sin haber contemplado que las actuaciones contenidas en el expediente electrónico del recurso de revisión </w:t>
      </w:r>
      <w:r>
        <w:rPr>
          <w:rFonts w:ascii="Palatino Linotype" w:hAnsi="Palatino Linotype" w:cs="Arial"/>
          <w:b/>
          <w:sz w:val="24"/>
          <w:szCs w:val="24"/>
        </w:rPr>
        <w:t>04</w:t>
      </w:r>
      <w:r w:rsidR="00C31B36">
        <w:rPr>
          <w:rFonts w:ascii="Palatino Linotype" w:hAnsi="Palatino Linotype" w:cs="Arial"/>
          <w:b/>
          <w:sz w:val="24"/>
          <w:szCs w:val="24"/>
        </w:rPr>
        <w:t>191</w:t>
      </w:r>
      <w:r>
        <w:rPr>
          <w:rFonts w:ascii="Palatino Linotype" w:hAnsi="Palatino Linotype" w:cs="Arial"/>
          <w:b/>
          <w:sz w:val="24"/>
          <w:szCs w:val="24"/>
        </w:rPr>
        <w:t>/INFOEM/IP/RR/2018</w:t>
      </w:r>
      <w:r>
        <w:rPr>
          <w:rFonts w:ascii="Palatino Linotype" w:hAnsi="Palatino Linotype" w:cs="Arial"/>
          <w:sz w:val="24"/>
          <w:szCs w:val="24"/>
        </w:rPr>
        <w:t xml:space="preserve">, actualizan, en realidad, la fracción III del mismo </w:t>
      </w:r>
      <w:r w:rsidR="0069743C">
        <w:rPr>
          <w:rFonts w:ascii="Palatino Linotype" w:hAnsi="Palatino Linotype" w:cs="Arial"/>
          <w:sz w:val="24"/>
          <w:szCs w:val="24"/>
        </w:rPr>
        <w:t>numeral.</w:t>
      </w:r>
    </w:p>
    <w:p w:rsidR="003A79AE" w:rsidRPr="00651380"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69743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5841563"/>
      <w:r>
        <w:rPr>
          <w:rFonts w:ascii="Palatino Linotype" w:hAnsi="Palatino Linotype"/>
          <w:b/>
          <w:color w:val="auto"/>
          <w:sz w:val="24"/>
          <w:szCs w:val="24"/>
        </w:rPr>
        <w:t>Sobre los actos de autoridad.</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Default="0046491C"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w:t>
      </w:r>
      <w:r w:rsidR="0069743C">
        <w:rPr>
          <w:rFonts w:ascii="Palatino Linotype" w:hAnsi="Palatino Linotype" w:cs="Arial"/>
          <w:sz w:val="24"/>
          <w:szCs w:val="24"/>
        </w:rPr>
        <w:t xml:space="preserve">que dado que la respuesta proporcionada por el </w:t>
      </w:r>
      <w:r w:rsidR="0069743C">
        <w:rPr>
          <w:rFonts w:ascii="Palatino Linotype" w:hAnsi="Palatino Linotype" w:cs="Arial"/>
          <w:b/>
          <w:sz w:val="24"/>
          <w:szCs w:val="24"/>
        </w:rPr>
        <w:t>SUJETO OBLIGADO</w:t>
      </w:r>
      <w:r w:rsidR="0069743C">
        <w:rPr>
          <w:rFonts w:ascii="Palatino Linotype" w:hAnsi="Palatino Linotype" w:cs="Arial"/>
          <w:sz w:val="24"/>
          <w:szCs w:val="24"/>
        </w:rPr>
        <w:t xml:space="preserve"> mediante su informe justificado atendió en su totalidad los requerimientos del </w:t>
      </w:r>
      <w:r w:rsidR="0069743C">
        <w:rPr>
          <w:rFonts w:ascii="Palatino Linotype" w:hAnsi="Palatino Linotype" w:cs="Arial"/>
          <w:b/>
          <w:sz w:val="24"/>
          <w:szCs w:val="24"/>
        </w:rPr>
        <w:t>RECURRENTE</w:t>
      </w:r>
      <w:r w:rsidR="0069743C">
        <w:rPr>
          <w:rFonts w:ascii="Palatino Linotype" w:hAnsi="Palatino Linotype" w:cs="Arial"/>
          <w:sz w:val="24"/>
          <w:szCs w:val="24"/>
        </w:rPr>
        <w:t>, actualizaba el supuesto establecido en la fracción V, del artículo 192 de la Ley de Transparencia y Acceso a la Información Pública del Estado de México y Municipios, el cual dicta lo siguiente:</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D85C47" w:rsidRDefault="0069743C" w:rsidP="00D85C47">
      <w:pPr>
        <w:ind w:left="567" w:right="567"/>
        <w:jc w:val="both"/>
        <w:rPr>
          <w:rFonts w:ascii="Palatino Linotype" w:hAnsi="Palatino Linotype"/>
          <w:i/>
        </w:rPr>
      </w:pPr>
      <w:r>
        <w:rPr>
          <w:rFonts w:ascii="Palatino Linotype" w:hAnsi="Palatino Linotype"/>
          <w:i/>
        </w:rPr>
        <w:t>“</w:t>
      </w:r>
      <w:r w:rsidRPr="0069743C">
        <w:rPr>
          <w:rFonts w:ascii="Palatino Linotype" w:hAnsi="Palatino Linotype"/>
          <w:b/>
          <w:i/>
        </w:rPr>
        <w:t xml:space="preserve">Artículo 192. </w:t>
      </w:r>
      <w:r w:rsidRPr="0069743C">
        <w:rPr>
          <w:rFonts w:ascii="Palatino Linotype" w:hAnsi="Palatino Linotype"/>
          <w:i/>
        </w:rPr>
        <w:t xml:space="preserve">El recurso será sobreseído, en todo o en parte, cuando una vez admitido, se actualicen alguno de los siguientes supuestos: </w:t>
      </w:r>
    </w:p>
    <w:p w:rsidR="0069743C" w:rsidRPr="0069743C" w:rsidRDefault="0069743C" w:rsidP="00D85C47">
      <w:pPr>
        <w:ind w:left="567" w:right="567"/>
        <w:jc w:val="both"/>
        <w:rPr>
          <w:rFonts w:ascii="Palatino Linotype" w:hAnsi="Palatino Linotype"/>
          <w:i/>
        </w:rPr>
      </w:pPr>
      <w:r w:rsidRPr="00D85C47">
        <w:rPr>
          <w:rFonts w:ascii="Palatino Linotype" w:hAnsi="Palatino Linotype"/>
          <w:b/>
          <w:i/>
        </w:rPr>
        <w:lastRenderedPageBreak/>
        <w:t>I.</w:t>
      </w:r>
      <w:r>
        <w:rPr>
          <w:rFonts w:ascii="Palatino Linotype" w:hAnsi="Palatino Linotype"/>
          <w:i/>
        </w:rPr>
        <w:t xml:space="preserve"> </w:t>
      </w:r>
      <w:r w:rsidRPr="0069743C">
        <w:rPr>
          <w:rFonts w:ascii="Palatino Linotype" w:hAnsi="Palatino Linotype"/>
          <w:i/>
        </w:rPr>
        <w:t xml:space="preserve">El recurrente se desista expresamente del recurso; </w:t>
      </w:r>
    </w:p>
    <w:p w:rsidR="0069743C" w:rsidRPr="0069743C" w:rsidRDefault="0069743C" w:rsidP="0069743C">
      <w:pPr>
        <w:ind w:left="567" w:right="567"/>
        <w:jc w:val="both"/>
        <w:rPr>
          <w:rFonts w:ascii="Palatino Linotype" w:hAnsi="Palatino Linotype"/>
          <w:i/>
        </w:rPr>
      </w:pPr>
      <w:r w:rsidRPr="00D85C47">
        <w:rPr>
          <w:rFonts w:ascii="Palatino Linotype" w:hAnsi="Palatino Linotype"/>
          <w:b/>
          <w:i/>
        </w:rPr>
        <w:t>II.</w:t>
      </w:r>
      <w:r w:rsidRPr="0069743C">
        <w:rPr>
          <w:rFonts w:ascii="Palatino Linotype" w:hAnsi="Palatino Linotype"/>
          <w:i/>
        </w:rPr>
        <w:t xml:space="preserve"> El recurrente fallezca o, tratándose de personas jurídicas colectivas, se disuelva; </w:t>
      </w:r>
    </w:p>
    <w:p w:rsidR="0069743C" w:rsidRDefault="0069743C" w:rsidP="0069743C">
      <w:pPr>
        <w:ind w:left="567" w:right="567"/>
        <w:jc w:val="both"/>
        <w:rPr>
          <w:rFonts w:ascii="Palatino Linotype" w:hAnsi="Palatino Linotype"/>
          <w:i/>
        </w:rPr>
      </w:pPr>
      <w:r w:rsidRPr="00D85C47">
        <w:rPr>
          <w:rFonts w:ascii="Palatino Linotype" w:hAnsi="Palatino Linotype"/>
          <w:b/>
          <w:i/>
        </w:rPr>
        <w:t>III.</w:t>
      </w:r>
      <w:r w:rsidRPr="0069743C">
        <w:rPr>
          <w:rFonts w:ascii="Palatino Linotype" w:hAnsi="Palatino Linotype"/>
          <w:i/>
        </w:rPr>
        <w:t xml:space="preserve"> El sujeto obligado responsable del acto lo modifique o revoque de tal manera que el recurso de revisión quede sin materia; </w:t>
      </w:r>
    </w:p>
    <w:p w:rsidR="0069743C" w:rsidRDefault="0069743C" w:rsidP="0069743C">
      <w:pPr>
        <w:ind w:left="567" w:right="567"/>
        <w:jc w:val="both"/>
        <w:rPr>
          <w:rFonts w:ascii="Palatino Linotype" w:hAnsi="Palatino Linotype"/>
          <w:i/>
        </w:rPr>
      </w:pPr>
      <w:r w:rsidRPr="00D85C47">
        <w:rPr>
          <w:rFonts w:ascii="Palatino Linotype" w:hAnsi="Palatino Linotype"/>
          <w:b/>
          <w:i/>
        </w:rPr>
        <w:t>IV.</w:t>
      </w:r>
      <w:r w:rsidRPr="0069743C">
        <w:rPr>
          <w:rFonts w:ascii="Palatino Linotype" w:hAnsi="Palatino Linotype"/>
          <w:i/>
        </w:rPr>
        <w:t xml:space="preserve"> Admitido el recurso de revisión, aparezca alguna causal de improcedencia en los términos de la presente Ley; y </w:t>
      </w:r>
    </w:p>
    <w:p w:rsidR="0069743C" w:rsidRDefault="0069743C" w:rsidP="0069743C">
      <w:pPr>
        <w:ind w:left="567" w:right="567"/>
        <w:jc w:val="both"/>
        <w:rPr>
          <w:rFonts w:ascii="Palatino Linotype" w:hAnsi="Palatino Linotype"/>
          <w:i/>
        </w:rPr>
      </w:pPr>
      <w:r w:rsidRPr="00D85C47">
        <w:rPr>
          <w:rFonts w:ascii="Palatino Linotype" w:hAnsi="Palatino Linotype"/>
          <w:b/>
          <w:i/>
        </w:rPr>
        <w:t>V.</w:t>
      </w:r>
      <w:r w:rsidRPr="0069743C">
        <w:rPr>
          <w:rFonts w:ascii="Palatino Linotype" w:hAnsi="Palatino Linotype"/>
          <w:i/>
        </w:rPr>
        <w:t xml:space="preserve"> </w:t>
      </w:r>
      <w:r w:rsidRPr="00D85C47">
        <w:rPr>
          <w:rFonts w:ascii="Palatino Linotype" w:hAnsi="Palatino Linotype"/>
          <w:b/>
          <w:i/>
          <w:u w:val="single"/>
        </w:rPr>
        <w:t>Cuando por cualquier motivo quede sin materia el recurso.</w:t>
      </w:r>
      <w:r w:rsidR="00D85C47">
        <w:rPr>
          <w:rFonts w:ascii="Palatino Linotype" w:hAnsi="Palatino Linotype"/>
          <w:i/>
        </w:rPr>
        <w:t>”</w:t>
      </w:r>
    </w:p>
    <w:p w:rsidR="00D85C47" w:rsidRPr="00D85C47" w:rsidRDefault="00D85C47" w:rsidP="0069743C">
      <w:pPr>
        <w:ind w:left="567" w:right="567"/>
        <w:jc w:val="both"/>
        <w:rPr>
          <w:rFonts w:ascii="Palatino Linotype" w:hAnsi="Palatino Linotype" w:cs="Arial"/>
          <w:sz w:val="24"/>
          <w:szCs w:val="24"/>
        </w:rPr>
      </w:pPr>
      <w:r>
        <w:rPr>
          <w:rFonts w:ascii="Palatino Linotype" w:hAnsi="Palatino Linotype"/>
        </w:rPr>
        <w:t>(Énfasis añadido)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Al respecto, debe manifestarse que la fracción V del artículo 192 de la Ley de la Materia, efectivamente se actualiza en el recurso de revisión, ya que éste menciona de manera literal “</w:t>
      </w:r>
      <w:r>
        <w:rPr>
          <w:rFonts w:ascii="Palatino Linotype" w:hAnsi="Palatino Linotype" w:cs="Arial"/>
          <w:i/>
          <w:sz w:val="24"/>
          <w:szCs w:val="24"/>
        </w:rPr>
        <w:t>cuando por cualquier motivo quede sin materia el recurso”</w:t>
      </w:r>
      <w:r>
        <w:rPr>
          <w:rFonts w:ascii="Palatino Linotype" w:hAnsi="Palatino Linotype" w:cs="Arial"/>
          <w:sz w:val="24"/>
          <w:szCs w:val="24"/>
        </w:rPr>
        <w:t>, sin embargo, la existencia y uso desinteresado de la presente fracción deviene en consecuencia que no se estudien las anteriores cuatro fracciones contenidas en el numeral 192.</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Dicho lo anterior, la Ley de Transparencia y Acceso a la Información Pública del Estado de México y Municipios, considera cuatro escenarios que pudieran ocurrir durante la sustanciación, estudio y resolución de un recurso de revisión para determinar el sobreseimiento de la controversia, las cuales son:</w:t>
      </w:r>
    </w:p>
    <w:p w:rsidR="00665F22" w:rsidRDefault="00665F22" w:rsidP="00665F22">
      <w:pPr>
        <w:pStyle w:val="Prrafodelista"/>
        <w:tabs>
          <w:tab w:val="left" w:pos="426"/>
        </w:tabs>
        <w:spacing w:after="0" w:line="360" w:lineRule="auto"/>
        <w:ind w:left="0" w:right="49"/>
        <w:jc w:val="both"/>
        <w:rPr>
          <w:rFonts w:ascii="Palatino Linotype" w:hAnsi="Palatino Linotype" w:cs="Arial"/>
          <w:sz w:val="24"/>
          <w:szCs w:val="24"/>
        </w:rPr>
      </w:pP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sidRPr="00D85C47">
        <w:rPr>
          <w:rFonts w:ascii="Palatino Linotype" w:hAnsi="Palatino Linotype" w:cs="Arial"/>
          <w:b/>
          <w:sz w:val="24"/>
          <w:szCs w:val="24"/>
        </w:rPr>
        <w:t>RECURRENTE</w:t>
      </w:r>
      <w:r>
        <w:rPr>
          <w:rFonts w:ascii="Palatino Linotype" w:hAnsi="Palatino Linotype" w:cs="Arial"/>
          <w:sz w:val="24"/>
          <w:szCs w:val="24"/>
        </w:rPr>
        <w:t xml:space="preserve"> se desista del recurso.</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lastRenderedPageBreak/>
        <w:t xml:space="preserve">Que el </w:t>
      </w:r>
      <w:r>
        <w:rPr>
          <w:rFonts w:ascii="Palatino Linotype" w:hAnsi="Palatino Linotype" w:cs="Arial"/>
          <w:b/>
          <w:sz w:val="24"/>
          <w:szCs w:val="24"/>
        </w:rPr>
        <w:t>RECURRENTE</w:t>
      </w:r>
      <w:r>
        <w:rPr>
          <w:rFonts w:ascii="Palatino Linotype" w:hAnsi="Palatino Linotype" w:cs="Arial"/>
          <w:sz w:val="24"/>
          <w:szCs w:val="24"/>
        </w:rPr>
        <w:t xml:space="preserve"> fallezca o, de ser el caso de ser una persona jurídico colectiva, se disuelva.</w:t>
      </w:r>
    </w:p>
    <w:p w:rsidR="00D85C47" w:rsidRP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b/>
          <w:sz w:val="24"/>
          <w:szCs w:val="24"/>
        </w:rPr>
      </w:pPr>
      <w:r w:rsidRPr="00D85C47">
        <w:rPr>
          <w:rFonts w:ascii="Palatino Linotype" w:hAnsi="Palatino Linotype" w:cs="Arial"/>
          <w:b/>
          <w:sz w:val="24"/>
          <w:szCs w:val="24"/>
        </w:rPr>
        <w:t>Que el SUJETO OBLIGADO responsable del acto, lo modifique o revoque de tal manera que el recurso quede sin materia.</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Que apareciera una causal de improcedencia contenida en el artículo 191 del mismo ordenamiento una vez admitido 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los cuatro escenarios considerados dentro de la Ley de Transparencia y Acceso a la Información Pública del Estado de México y Municipios, deberían ser vastos y suficientes para determinar sobreseer todo recurso de revisión que así lo amerite; el llamar a actualizar la fracción V, implica que ninguno de los primeros cuatro supuestos anteriormente mencionados actualizó de manera óptima y oportuna el escenario contenido en el recurso de revisión, y que, sin embargo, existen causas suficientes para decretar </w:t>
      </w:r>
      <w:r w:rsidR="00935107">
        <w:rPr>
          <w:rFonts w:ascii="Palatino Linotype" w:hAnsi="Palatino Linotype" w:cs="Arial"/>
          <w:sz w:val="24"/>
          <w:szCs w:val="24"/>
        </w:rPr>
        <w:t>el sobreseimiento.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65F22" w:rsidRDefault="00832884" w:rsidP="0024503F">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665F22">
        <w:rPr>
          <w:rFonts w:ascii="Palatino Linotype" w:hAnsi="Palatino Linotype" w:cs="Arial"/>
          <w:sz w:val="24"/>
          <w:szCs w:val="24"/>
        </w:rPr>
        <w:t xml:space="preserve">Dentro del presente recurso de revisión, debemos recordar que el </w:t>
      </w:r>
      <w:r w:rsidRPr="00665F22">
        <w:rPr>
          <w:rFonts w:ascii="Palatino Linotype" w:hAnsi="Palatino Linotype" w:cs="Arial"/>
          <w:b/>
          <w:sz w:val="24"/>
          <w:szCs w:val="24"/>
        </w:rPr>
        <w:t>SUJETO OBLIGADO</w:t>
      </w:r>
      <w:r w:rsidRPr="00665F22">
        <w:rPr>
          <w:rFonts w:ascii="Palatino Linotype" w:hAnsi="Palatino Linotype" w:cs="Arial"/>
          <w:sz w:val="24"/>
          <w:szCs w:val="24"/>
        </w:rPr>
        <w:t xml:space="preserve"> tiene dos participaciones directas con el particular, la primera es en el momento que da atención a la solicitud de información, y la segunda es cuando debe entregar su informe justificado a efecto de reiterar, modificar o revocar su respuesta inicial.</w:t>
      </w:r>
    </w:p>
    <w:p w:rsidR="0069743C" w:rsidRPr="00665F22" w:rsidRDefault="00832884" w:rsidP="0024503F">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665F22">
        <w:rPr>
          <w:rFonts w:ascii="Palatino Linotype" w:hAnsi="Palatino Linotype" w:cs="Arial"/>
          <w:sz w:val="24"/>
          <w:szCs w:val="24"/>
        </w:rPr>
        <w:lastRenderedPageBreak/>
        <w:t xml:space="preserve">Por ello, no debe ignorarse que el silencio de la autoridad contenido en la omisión o ausencia de respuesta a la solicitud de información, no exime el hecho jurídico de que el </w:t>
      </w:r>
      <w:r w:rsidRPr="00665F22">
        <w:rPr>
          <w:rFonts w:ascii="Palatino Linotype" w:hAnsi="Palatino Linotype" w:cs="Arial"/>
          <w:b/>
          <w:sz w:val="24"/>
          <w:szCs w:val="24"/>
        </w:rPr>
        <w:t>SUJETO OBLIGADO</w:t>
      </w:r>
      <w:r w:rsidRPr="00665F22">
        <w:rPr>
          <w:rFonts w:ascii="Palatino Linotype" w:hAnsi="Palatino Linotype" w:cs="Arial"/>
          <w:sz w:val="24"/>
          <w:szCs w:val="24"/>
        </w:rPr>
        <w:t xml:space="preserve"> realizó un acto de autoridad.</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32884" w:rsidP="0083288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w:t>
      </w:r>
      <w:r w:rsidRPr="00832884">
        <w:rPr>
          <w:rFonts w:ascii="Palatino Linotype" w:hAnsi="Palatino Linotype" w:cs="Arial"/>
          <w:sz w:val="24"/>
          <w:szCs w:val="24"/>
        </w:rPr>
        <w:t xml:space="preserve">así, </w:t>
      </w:r>
      <w:r>
        <w:rPr>
          <w:rFonts w:ascii="Palatino Linotype" w:hAnsi="Palatino Linotype" w:cs="Arial"/>
          <w:sz w:val="24"/>
          <w:szCs w:val="24"/>
        </w:rPr>
        <w:t xml:space="preserve">ya </w:t>
      </w:r>
      <w:r w:rsidRPr="00832884">
        <w:rPr>
          <w:rFonts w:ascii="Palatino Linotype" w:hAnsi="Palatino Linotype" w:cs="Arial"/>
          <w:sz w:val="24"/>
          <w:szCs w:val="24"/>
        </w:rPr>
        <w:t xml:space="preserve">que la falta de respuesta a una solicitud </w:t>
      </w:r>
      <w:r w:rsidRPr="00832884">
        <w:rPr>
          <w:rFonts w:ascii="Palatino Linotype" w:hAnsi="Palatino Linotype" w:cs="Arial"/>
          <w:b/>
          <w:sz w:val="24"/>
          <w:szCs w:val="24"/>
        </w:rPr>
        <w:t>implica una afectación directa al derecho humano que le asiste a la persona que solicita acceder a la información</w:t>
      </w:r>
      <w:r w:rsidR="00E95FDE">
        <w:rPr>
          <w:rFonts w:ascii="Palatino Linotype" w:hAnsi="Palatino Linotype" w:cs="Arial"/>
          <w:sz w:val="24"/>
          <w:szCs w:val="24"/>
        </w:rPr>
        <w:t>.</w:t>
      </w:r>
      <w:r w:rsidRPr="00832884">
        <w:rPr>
          <w:rFonts w:ascii="Palatino Linotype" w:hAnsi="Palatino Linotype" w:cs="Arial"/>
          <w:sz w:val="24"/>
          <w:szCs w:val="24"/>
        </w:rPr>
        <w:t xml:space="preserve"> </w:t>
      </w:r>
      <w:r>
        <w:rPr>
          <w:rFonts w:ascii="Palatino Linotype" w:hAnsi="Palatino Linotype" w:cs="Arial"/>
          <w:sz w:val="24"/>
          <w:szCs w:val="24"/>
        </w:rPr>
        <w:t xml:space="preserve">De tal manera que el </w:t>
      </w:r>
      <w:r>
        <w:rPr>
          <w:rFonts w:ascii="Palatino Linotype" w:hAnsi="Palatino Linotype" w:cs="Arial"/>
          <w:b/>
          <w:sz w:val="24"/>
          <w:szCs w:val="24"/>
        </w:rPr>
        <w:t>SUJETO OBLIGADO</w:t>
      </w:r>
      <w:r w:rsidRPr="00832884">
        <w:rPr>
          <w:rFonts w:ascii="Palatino Linotype" w:hAnsi="Palatino Linotype" w:cs="Arial"/>
          <w:sz w:val="24"/>
          <w:szCs w:val="24"/>
        </w:rPr>
        <w:t xml:space="preserve"> al </w:t>
      </w:r>
      <w:r>
        <w:rPr>
          <w:rFonts w:ascii="Palatino Linotype" w:hAnsi="Palatino Linotype" w:cs="Arial"/>
          <w:sz w:val="24"/>
          <w:szCs w:val="24"/>
        </w:rPr>
        <w:t>haber sido</w:t>
      </w:r>
      <w:r w:rsidRPr="00832884">
        <w:rPr>
          <w:rFonts w:ascii="Palatino Linotype" w:hAnsi="Palatino Linotype" w:cs="Arial"/>
          <w:sz w:val="24"/>
          <w:szCs w:val="24"/>
        </w:rPr>
        <w:t xml:space="preserve"> omiso en emitir respuesta</w:t>
      </w:r>
      <w:r>
        <w:rPr>
          <w:rFonts w:ascii="Palatino Linotype" w:hAnsi="Palatino Linotype" w:cs="Arial"/>
          <w:sz w:val="24"/>
          <w:szCs w:val="24"/>
        </w:rPr>
        <w:t>, trajo como consecuencia el</w:t>
      </w:r>
      <w:r w:rsidRPr="00832884">
        <w:rPr>
          <w:rFonts w:ascii="Palatino Linotype" w:hAnsi="Palatino Linotype" w:cs="Arial"/>
          <w:sz w:val="24"/>
          <w:szCs w:val="24"/>
        </w:rPr>
        <w:t xml:space="preserve"> no </w:t>
      </w:r>
      <w:r>
        <w:rPr>
          <w:rFonts w:ascii="Palatino Linotype" w:hAnsi="Palatino Linotype" w:cs="Arial"/>
          <w:sz w:val="24"/>
          <w:szCs w:val="24"/>
        </w:rPr>
        <w:t>promover</w:t>
      </w:r>
      <w:r w:rsidRPr="00832884">
        <w:rPr>
          <w:rFonts w:ascii="Palatino Linotype" w:hAnsi="Palatino Linotype" w:cs="Arial"/>
          <w:sz w:val="24"/>
          <w:szCs w:val="24"/>
        </w:rPr>
        <w:t xml:space="preserve">, </w:t>
      </w:r>
      <w:r>
        <w:rPr>
          <w:rFonts w:ascii="Palatino Linotype" w:hAnsi="Palatino Linotype" w:cs="Arial"/>
          <w:sz w:val="24"/>
          <w:szCs w:val="24"/>
        </w:rPr>
        <w:t>proteger</w:t>
      </w:r>
      <w:r w:rsidRPr="00832884">
        <w:rPr>
          <w:rFonts w:ascii="Palatino Linotype" w:hAnsi="Palatino Linotype" w:cs="Arial"/>
          <w:sz w:val="24"/>
          <w:szCs w:val="24"/>
        </w:rPr>
        <w:t xml:space="preserve">, </w:t>
      </w:r>
      <w:r>
        <w:rPr>
          <w:rFonts w:ascii="Palatino Linotype" w:hAnsi="Palatino Linotype" w:cs="Arial"/>
          <w:sz w:val="24"/>
          <w:szCs w:val="24"/>
        </w:rPr>
        <w:t>respetar</w:t>
      </w:r>
      <w:r w:rsidRPr="00832884">
        <w:rPr>
          <w:rFonts w:ascii="Palatino Linotype" w:hAnsi="Palatino Linotype" w:cs="Arial"/>
          <w:sz w:val="24"/>
          <w:szCs w:val="24"/>
        </w:rPr>
        <w:t xml:space="preserve"> ni </w:t>
      </w:r>
      <w:r>
        <w:rPr>
          <w:rFonts w:ascii="Palatino Linotype" w:hAnsi="Palatino Linotype" w:cs="Arial"/>
          <w:sz w:val="24"/>
          <w:szCs w:val="24"/>
        </w:rPr>
        <w:t>garantizar</w:t>
      </w:r>
      <w:r w:rsidRPr="00832884">
        <w:rPr>
          <w:rFonts w:ascii="Palatino Linotype" w:hAnsi="Palatino Linotype" w:cs="Arial"/>
          <w:sz w:val="24"/>
          <w:szCs w:val="24"/>
        </w:rPr>
        <w:t xml:space="preserve"> el derecho constitucional y convencionalmente reconocido de acceso a la información, toda vez que no brindó lo que le fue solicitado en el tiempo previamente establecido para tal efecto, provocando así que el particular tuviera </w:t>
      </w:r>
      <w:r w:rsidR="008006E3">
        <w:rPr>
          <w:rFonts w:ascii="Palatino Linotype" w:hAnsi="Palatino Linotype" w:cs="Arial"/>
          <w:sz w:val="24"/>
          <w:szCs w:val="24"/>
        </w:rPr>
        <w:t>que</w:t>
      </w:r>
      <w:r w:rsidRPr="00832884">
        <w:rPr>
          <w:rFonts w:ascii="Palatino Linotype" w:hAnsi="Palatino Linotype" w:cs="Arial"/>
          <w:sz w:val="24"/>
          <w:szCs w:val="24"/>
        </w:rPr>
        <w:t xml:space="preserve"> recurrir a “</w:t>
      </w:r>
      <w:r w:rsidRPr="00195683">
        <w:rPr>
          <w:rFonts w:ascii="Palatino Linotype" w:hAnsi="Palatino Linotype" w:cs="Arial"/>
          <w:i/>
          <w:sz w:val="24"/>
          <w:szCs w:val="24"/>
        </w:rPr>
        <w:t>la garantía secundaria mediante la cual se pretender reparar cualquier posible afectación al derecho de acceso a la información pública…”</w:t>
      </w:r>
      <w:r w:rsidRPr="00832884">
        <w:rPr>
          <w:rFonts w:ascii="Palatino Linotype" w:hAnsi="Palatino Linotype" w:cs="Arial"/>
          <w:sz w:val="24"/>
          <w:szCs w:val="24"/>
        </w:rPr>
        <w:t xml:space="preserve">  siendo </w:t>
      </w:r>
      <w:r w:rsidR="00195683">
        <w:rPr>
          <w:rFonts w:ascii="Palatino Linotype" w:hAnsi="Palatino Linotype" w:cs="Arial"/>
          <w:sz w:val="24"/>
          <w:szCs w:val="24"/>
        </w:rPr>
        <w:t xml:space="preserve">éste </w:t>
      </w:r>
      <w:r w:rsidRPr="00832884">
        <w:rPr>
          <w:rFonts w:ascii="Palatino Linotype" w:hAnsi="Palatino Linotype" w:cs="Arial"/>
          <w:sz w:val="24"/>
          <w:szCs w:val="24"/>
        </w:rPr>
        <w:t>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195683" w:rsidP="00195683">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Ahora bien, no debe perderse de vista que </w:t>
      </w:r>
      <w:r w:rsidRPr="00195683">
        <w:rPr>
          <w:rFonts w:ascii="Palatino Linotype" w:hAnsi="Palatino Linotype" w:cs="Arial"/>
          <w:b/>
          <w:sz w:val="24"/>
          <w:szCs w:val="24"/>
          <w:u w:val="single"/>
        </w:rPr>
        <w:t>la omisión a atender una solicitud de información representa una afectación continua al derecho de acceso a la información, y es importante señalar que este derecho se colma una vez que se hace entrega del soporte documental que el SUJETO OBLIGADO posee, genera o administra en el ejercicio de sus atribuciones</w:t>
      </w:r>
      <w:r w:rsidRPr="00195683">
        <w:rPr>
          <w:rFonts w:ascii="Palatino Linotype" w:hAnsi="Palatino Linotype" w:cs="Arial"/>
          <w:sz w:val="24"/>
          <w:szCs w:val="24"/>
        </w:rPr>
        <w:t xml:space="preserve">, es decir, para respetar adecuadamente el derecho se necesita que haga entrega de la información requerida </w:t>
      </w:r>
      <w:r w:rsidRPr="00195683">
        <w:rPr>
          <w:rFonts w:ascii="Palatino Linotype" w:hAnsi="Palatino Linotype" w:cs="Arial"/>
          <w:sz w:val="24"/>
          <w:szCs w:val="24"/>
        </w:rPr>
        <w:lastRenderedPageBreak/>
        <w:t>o explique el procedimiento preciso que debe realizar la persona para acceder a la información en cuestión.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195683"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w:t>
      </w:r>
      <w:r w:rsidR="00863C51">
        <w:rPr>
          <w:rFonts w:ascii="Palatino Linotype" w:hAnsi="Palatino Linotype" w:cs="Arial"/>
          <w:sz w:val="24"/>
          <w:szCs w:val="24"/>
        </w:rPr>
        <w:t xml:space="preserve">resulta mayormente factible discernir que, a pesar de que el </w:t>
      </w:r>
      <w:r w:rsidR="00863C51">
        <w:rPr>
          <w:rFonts w:ascii="Palatino Linotype" w:hAnsi="Palatino Linotype" w:cs="Arial"/>
          <w:b/>
          <w:sz w:val="24"/>
          <w:szCs w:val="24"/>
        </w:rPr>
        <w:t>SUJETO OBLIGADO</w:t>
      </w:r>
      <w:r w:rsidR="00863C51">
        <w:rPr>
          <w:rFonts w:ascii="Palatino Linotype" w:hAnsi="Palatino Linotype" w:cs="Arial"/>
          <w:sz w:val="24"/>
          <w:szCs w:val="24"/>
        </w:rPr>
        <w:t xml:space="preserve"> no generó de manera literal, visible o palpable una contestación a los requerimientos del entonces </w:t>
      </w:r>
      <w:r w:rsidR="00863C51">
        <w:rPr>
          <w:rFonts w:ascii="Palatino Linotype" w:hAnsi="Palatino Linotype" w:cs="Arial"/>
          <w:b/>
          <w:sz w:val="24"/>
          <w:szCs w:val="24"/>
        </w:rPr>
        <w:t>SOLICITANTE,</w:t>
      </w:r>
      <w:r w:rsidR="00863C51">
        <w:rPr>
          <w:rFonts w:ascii="Palatino Linotype" w:hAnsi="Palatino Linotype" w:cs="Arial"/>
          <w:sz w:val="24"/>
          <w:szCs w:val="24"/>
        </w:rPr>
        <w:t xml:space="preserve"> esa omisión representa un acto de autoridad que repercute en la afectación continua del derecho de acceso a la información pública del particular.</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863C51"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se robustece aún más si examinamos el contenido de los artículos 135 </w:t>
      </w:r>
      <w:r w:rsidR="00661E86">
        <w:rPr>
          <w:rFonts w:ascii="Palatino Linotype" w:hAnsi="Palatino Linotype" w:cs="Arial"/>
          <w:sz w:val="24"/>
          <w:szCs w:val="24"/>
        </w:rPr>
        <w:t>d</w:t>
      </w:r>
      <w:r>
        <w:rPr>
          <w:rFonts w:ascii="Palatino Linotype" w:hAnsi="Palatino Linotype" w:cs="Arial"/>
          <w:sz w:val="24"/>
          <w:szCs w:val="24"/>
        </w:rPr>
        <w:t xml:space="preserve">el Código de Procedimientos Administrativos del Estado de México y Municipios, lo cual encuentra sentido ya que el Derecho Administrativo resulta ser la materia hermana del Derecho de Acceso a la Información, al considerar como partes en una controversia a un particular en contra de una autoridad, siendo la </w:t>
      </w:r>
      <w:r>
        <w:rPr>
          <w:rFonts w:ascii="Palatino Linotype" w:hAnsi="Palatino Linotype" w:cs="Arial"/>
          <w:i/>
          <w:sz w:val="24"/>
          <w:szCs w:val="24"/>
        </w:rPr>
        <w:t>Litis</w:t>
      </w:r>
      <w:r>
        <w:rPr>
          <w:rFonts w:ascii="Palatino Linotype" w:hAnsi="Palatino Linotype" w:cs="Arial"/>
          <w:sz w:val="24"/>
          <w:szCs w:val="24"/>
        </w:rPr>
        <w:t xml:space="preserve"> en todo momento un acto de autoridad</w:t>
      </w:r>
      <w:r>
        <w:rPr>
          <w:rStyle w:val="Refdenotaalpie"/>
          <w:rFonts w:ascii="Palatino Linotype" w:hAnsi="Palatino Linotype" w:cs="Arial"/>
          <w:sz w:val="24"/>
          <w:szCs w:val="24"/>
        </w:rPr>
        <w:footnoteReference w:id="1"/>
      </w:r>
      <w:r w:rsidR="00661E86">
        <w:rPr>
          <w:rFonts w:ascii="Palatino Linotype" w:hAnsi="Palatino Linotype" w:cs="Arial"/>
          <w:sz w:val="24"/>
          <w:szCs w:val="24"/>
        </w:rPr>
        <w:t>:</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863C51">
        <w:rPr>
          <w:rFonts w:ascii="Palatino Linotype" w:hAnsi="Palatino Linotype"/>
          <w:b/>
          <w:i/>
        </w:rPr>
        <w:t>Artículo 135.-</w:t>
      </w:r>
      <w:r w:rsidRPr="00863C51">
        <w:rPr>
          <w:rFonts w:ascii="Palatino Linotype" w:hAnsi="Palatino Linotype"/>
          <w:i/>
        </w:rPr>
        <w:t xml:space="preserve"> </w:t>
      </w:r>
      <w:r w:rsidRPr="00863C51">
        <w:rPr>
          <w:rFonts w:ascii="Palatino Linotype" w:hAnsi="Palatino Linotype"/>
          <w:b/>
          <w:i/>
        </w:rPr>
        <w:t>Las peticiones que los particulares hagan a las autoridades del Poder Ejecutivo del Estado, de los municipios y de los organismos descentralizados con funciones de autoridad, de carácter estatal o municipal, deberán ser resueltas en forma escrita y notificada, dentro de un plazo que no exceda de quince días hábiles posteriores a la fecha de su presentación</w:t>
      </w:r>
      <w:r w:rsidRPr="00863C51">
        <w:rPr>
          <w:rFonts w:ascii="Palatino Linotype" w:hAnsi="Palatino Linotype"/>
          <w:i/>
        </w:rPr>
        <w:t xml:space="preserve">, a </w:t>
      </w:r>
      <w:r w:rsidRPr="00863C51">
        <w:rPr>
          <w:rFonts w:ascii="Palatino Linotype" w:hAnsi="Palatino Linotype"/>
          <w:i/>
        </w:rPr>
        <w:lastRenderedPageBreak/>
        <w:t xml:space="preserve">excepción de los trámites que tengan plazo establecido en la Ley de la materia, los cuales deberán ser resueltos en el término señalado para tal efecto. </w:t>
      </w:r>
    </w:p>
    <w:p w:rsidR="00863C51" w:rsidRP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Cuando se requiera al promovente para que exhiba los documentos omitidos o cumpla con requisitos, formales o proporcione los datos necesarios para su resolución, el plazo empezará a correr desde que el requerimiento haya sido cumplido. Si la autoridad omite efectuar el requerimiento, la resolución afirmativa ficta se configurará en términos del siguiente párrafo.</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 xml:space="preserve">Transcurrido el plazo o término correspondiente sin que se notifique la resolución expresa, los interesados podrán solicitar a la autoridad ante la que presentó la petición, la certificación de que ha operado en su favor la afirmativa ficta, que significa decisión favorable a los derechos e intereses legítimos de los peticionarios.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Dentro de los tres días hábiles posteriores a la presentación de la solicitud de la certificación, la autoridad deberá expedirla salvo cuando el interesado no cumpla con los supuestos de procedencia establecidos en la ley de la materia.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En caso de que la autoridad competente no de respuesta a la solicitud de certificación dentro del plazo señalado en el párrafo anterior, los peticionarios acreditarán la existencia de la resolución afirmativa ficta, que producirá todos sus efectos legales ante las autoridades administrativas, con la presentación del documento que acuse de recibo original que contenga la petición formulada en el que aparezca claramente, o sello fechador original de la dependencia administrativa o la constancia de recepción con firma original del servidor público respectivo.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La resolución afirmativa ficta operará tratándose de peticiones que den inicio a procedimientos en las materias reguladas por el Código Administrativo, excepto, </w:t>
      </w:r>
      <w:r w:rsidRPr="00863C51">
        <w:rPr>
          <w:rFonts w:ascii="Palatino Linotype" w:hAnsi="Palatino Linotype"/>
          <w:i/>
        </w:rPr>
        <w:lastRenderedPageBreak/>
        <w:t xml:space="preserve">tratándose de peticiones que tengan por objeto la transmisión de la propiedad o la posesión de bienes del Estado, municipios y organismos auxiliares de carácter estatal o municipal, la afectación de derechos de terceros, el otorgamiento o modificación de concesiones para la prestación de servicios públicos, autorizaciones de conjuntos urbanos, licencias de uso del suelo, normas técnicas, evaluaciones técnicas de factibilidad, dictamen único de factibilidad, así como el permiso para las casas de empeño y de las unidades económicas que ejercen la compra y/o venta de oro y/o plata y la resolución del recurso administrativo de inconformidad. Tampoco se configura la resolución afirmativa ficta cuando la petición se hubiese presentado ante autoridad incompetente, así como en los casos de la rescisión de las relaciones laborales con los policías. </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En todos los casos en que no opera la resolución afirmativa ficta, el silencio de las autoridades en el plazo de quince días hábiles posteriores a la presentación de la petición o el término establecido en la ley de la materia para dar respuesta, se considerará como resolución negativa ficta, que significa decisión desfavorable a los derechos e intereses de los peticionarios, para efectos de su impugnación en el juicio contencioso administrativo.</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Las peticiones que los particulares hagan al Titular del Poder Ejecutivo, podrán ser turnadas para su respuesta a las Dependencias, Organismos o Entidades, quienes deberán notificar al peticionario tal supuesto; así como, la autoridad que conocerá y dará respuesta.</w:t>
      </w:r>
      <w:r w:rsidR="00665F22">
        <w:rPr>
          <w:rFonts w:ascii="Palatino Linotype" w:hAnsi="Palatino Linotype"/>
          <w:i/>
        </w:rPr>
        <w:t>”</w:t>
      </w:r>
    </w:p>
    <w:p w:rsidR="00863C51" w:rsidRDefault="00863C51"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661E86"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Por lo anterior, se entiende que el silencio de una autoridad puede actuar en favor o en contra de una petición formulada por un particular a una autoridad, ya </w:t>
      </w:r>
      <w:r>
        <w:rPr>
          <w:rFonts w:ascii="Palatino Linotype" w:hAnsi="Palatino Linotype" w:cs="Arial"/>
          <w:sz w:val="24"/>
          <w:szCs w:val="24"/>
        </w:rPr>
        <w:lastRenderedPageBreak/>
        <w:t>que sin importar el hecho de que la autoridad no otorgara una respuesta a la petición, transcurridos quince días hábiles de haber promovido el requerimiento, el acto de respuesta se entenderá como un silencio, el cual puede ser reconocido como una respuesta afirmativa o negativa a la solicitud según sea el caso</w:t>
      </w:r>
      <w:r w:rsidR="00343FAD">
        <w:rPr>
          <w:rFonts w:ascii="Palatino Linotype" w:hAnsi="Palatino Linotype" w:cs="Arial"/>
          <w:sz w:val="24"/>
          <w:szCs w:val="24"/>
        </w:rPr>
        <w:t>, pero siempre como un acto de autoridad</w:t>
      </w:r>
      <w:r>
        <w:rPr>
          <w:rFonts w:ascii="Palatino Linotype" w:hAnsi="Palatino Linotype" w:cs="Arial"/>
          <w:sz w:val="24"/>
          <w:szCs w:val="24"/>
        </w:rPr>
        <w:t>.</w:t>
      </w:r>
    </w:p>
    <w:p w:rsidR="00661E86" w:rsidRDefault="00661E86" w:rsidP="00661E86">
      <w:pPr>
        <w:pStyle w:val="Prrafodelista"/>
        <w:tabs>
          <w:tab w:val="left" w:pos="426"/>
        </w:tabs>
        <w:spacing w:after="0" w:line="360" w:lineRule="auto"/>
        <w:ind w:left="0" w:right="49"/>
        <w:jc w:val="both"/>
        <w:rPr>
          <w:rFonts w:ascii="Palatino Linotype" w:hAnsi="Palatino Linotype" w:cs="Arial"/>
          <w:sz w:val="24"/>
          <w:szCs w:val="24"/>
        </w:rPr>
      </w:pPr>
    </w:p>
    <w:p w:rsidR="0069743C" w:rsidRPr="00343FAD" w:rsidRDefault="00343FAD" w:rsidP="00F72598">
      <w:pPr>
        <w:pStyle w:val="Prrafodelista"/>
        <w:numPr>
          <w:ilvl w:val="0"/>
          <w:numId w:val="1"/>
        </w:numPr>
        <w:tabs>
          <w:tab w:val="left" w:pos="426"/>
        </w:tabs>
        <w:spacing w:after="0" w:line="360" w:lineRule="auto"/>
        <w:ind w:left="0" w:right="567" w:firstLine="0"/>
        <w:jc w:val="both"/>
        <w:rPr>
          <w:rFonts w:ascii="Palatino Linotype" w:hAnsi="Palatino Linotype" w:cs="Arial"/>
          <w:i/>
          <w:szCs w:val="24"/>
        </w:rPr>
      </w:pPr>
      <w:r w:rsidRPr="00343FAD">
        <w:rPr>
          <w:rFonts w:ascii="Palatino Linotype" w:hAnsi="Palatino Linotype" w:cs="Arial"/>
          <w:sz w:val="24"/>
          <w:szCs w:val="24"/>
        </w:rPr>
        <w:t>Sirve como criterio orientador la Tesis IV.1º.a.84 a (10ª.), de la Décima Época, publicada en la Gaceta del Semanario Judicial de la Federación en el Libro 54, en mayo del dos mil dieciocho, tomo III, bajo el registro 2016830:</w:t>
      </w:r>
    </w:p>
    <w:p w:rsidR="00661E86" w:rsidRDefault="00661E86" w:rsidP="00343FAD">
      <w:pPr>
        <w:pStyle w:val="Prrafodelista"/>
        <w:tabs>
          <w:tab w:val="left" w:pos="426"/>
        </w:tabs>
        <w:spacing w:after="0" w:line="360" w:lineRule="auto"/>
        <w:ind w:leftChars="257" w:left="565" w:right="567"/>
        <w:jc w:val="both"/>
        <w:rPr>
          <w:rFonts w:ascii="Palatino Linotype" w:hAnsi="Palatino Linotype" w:cs="Arial"/>
          <w:sz w:val="24"/>
          <w:szCs w:val="24"/>
        </w:rPr>
      </w:pPr>
      <w:r w:rsidRPr="00343FAD">
        <w:rPr>
          <w:rFonts w:ascii="Palatino Linotype" w:hAnsi="Palatino Linotype" w:cs="Arial"/>
          <w:b/>
          <w:i/>
          <w:szCs w:val="24"/>
        </w:rPr>
        <w:t xml:space="preserve">RECONSIDERACIÓN ADMINISTRATIVA PREVISTA EN EL ARTÍCULO 36, PÁRRAFO TERCERO, DEL CÓDIGO FISCAL DE LA FEDERACIÓN. </w:t>
      </w:r>
      <w:r w:rsidRPr="00343FAD">
        <w:rPr>
          <w:rFonts w:ascii="Palatino Linotype" w:hAnsi="Palatino Linotype" w:cs="Arial"/>
          <w:b/>
          <w:i/>
          <w:szCs w:val="24"/>
          <w:u w:val="single"/>
        </w:rPr>
        <w:t>LA NEGATIVA FICTA CONFIGURADA ANTE LA FALTA DE RESPUESTA A LA PETICIÓN RELATIVA, CONSTITUYE UNA RESOLUCIÓN DEFINITIVA CONTRA LA QUE PROCEDE EL JUICIO CONTENCIOSO ADMINISTRATIVO FEDERAL</w:t>
      </w:r>
      <w:r w:rsidRPr="00343FAD">
        <w:rPr>
          <w:rFonts w:ascii="Palatino Linotype" w:hAnsi="Palatino Linotype" w:cs="Arial"/>
          <w:b/>
          <w:i/>
          <w:szCs w:val="24"/>
        </w:rPr>
        <w:t>.</w:t>
      </w:r>
      <w:r w:rsidR="00343FAD" w:rsidRPr="00343FAD">
        <w:rPr>
          <w:rFonts w:ascii="Palatino Linotype" w:hAnsi="Palatino Linotype" w:cs="Arial"/>
          <w:i/>
          <w:szCs w:val="24"/>
        </w:rPr>
        <w:t xml:space="preserve"> “</w:t>
      </w:r>
      <w:r w:rsidRPr="00343FAD">
        <w:rPr>
          <w:rFonts w:ascii="Palatino Linotype" w:hAnsi="Palatino Linotype" w:cs="Arial"/>
          <w:i/>
          <w:szCs w:val="24"/>
        </w:rPr>
        <w:t xml:space="preserve">La Segunda Sala de la Suprema Corte de Justicia de la Nación, en la tesis aislada 2a. X/2003, publicada en la Novena Época del Semanario Judicial de la Federación y su Gaceta, Tomo XVII, febrero de 2003, página 336, de rubro: "TRIBUNAL FEDERAL DE JUSTICIA FISCAL Y ADMINISTRATIVA. ‘RESOLUCIONES ADMINISTRATIVAS DEFINITIVAS’. ALCANCE DEL CONCEPTO A QUE SE REFIERE EL ARTÍCULO 11, PRIMER PÁRRAFO, DE LA LEY ORGÁNICA DE DICHO TRIBUNAL.", al interpretar el alcance del artículo 11, fracción IV, de la Ley Orgánica del Tribunal Federal de Justicia Fiscal y Administrativa abrogada, precisó que </w:t>
      </w:r>
      <w:r w:rsidRPr="00B95AA5">
        <w:rPr>
          <w:rFonts w:ascii="Palatino Linotype" w:hAnsi="Palatino Linotype" w:cs="Arial"/>
          <w:b/>
          <w:i/>
          <w:szCs w:val="24"/>
        </w:rPr>
        <w:t xml:space="preserve">las resoluciones definitivas no sólo eran aquellas que no admitan recurso o, admitiéndolo, sea optativo, sino que también debe </w:t>
      </w:r>
      <w:r w:rsidRPr="00B95AA5">
        <w:rPr>
          <w:rFonts w:ascii="Palatino Linotype" w:hAnsi="Palatino Linotype" w:cs="Arial"/>
          <w:b/>
          <w:i/>
          <w:szCs w:val="24"/>
        </w:rPr>
        <w:lastRenderedPageBreak/>
        <w:t>considerarse la naturaleza jurídica de la resolución</w:t>
      </w:r>
      <w:r w:rsidRPr="00B95AA5">
        <w:rPr>
          <w:rFonts w:ascii="Palatino Linotype" w:hAnsi="Palatino Linotype" w:cs="Arial"/>
          <w:b/>
          <w:i/>
          <w:szCs w:val="24"/>
          <w:u w:val="single"/>
        </w:rPr>
        <w:t>, sea ésta expresa o ficta</w:t>
      </w:r>
      <w:r w:rsidRPr="00B95AA5">
        <w:rPr>
          <w:rFonts w:ascii="Palatino Linotype" w:hAnsi="Palatino Linotype" w:cs="Arial"/>
          <w:b/>
          <w:i/>
          <w:szCs w:val="24"/>
        </w:rPr>
        <w:t>, la cual debe constituir el producto final o la voluntad definitiva de la administración pública</w:t>
      </w:r>
      <w:r w:rsidRPr="00343FAD">
        <w:rPr>
          <w:rFonts w:ascii="Palatino Linotype" w:hAnsi="Palatino Linotype" w:cs="Arial"/>
          <w:i/>
          <w:szCs w:val="24"/>
        </w:rPr>
        <w:t xml:space="preserve">, como última resolución dictada para poner fin a un procedimiento, y como manifestación aislada que no requiere de un procedimiento que le anteceda para poder reflejar la última voluntad oficial. </w:t>
      </w:r>
      <w:r w:rsidRPr="00B95AA5">
        <w:rPr>
          <w:rFonts w:ascii="Palatino Linotype" w:hAnsi="Palatino Linotype" w:cs="Arial"/>
          <w:b/>
          <w:i/>
          <w:szCs w:val="24"/>
        </w:rPr>
        <w:t>Por tanto, contra la negativa ficta configurada ante la falta de respuesta</w:t>
      </w:r>
      <w:r w:rsidRPr="00343FAD">
        <w:rPr>
          <w:rFonts w:ascii="Palatino Linotype" w:hAnsi="Palatino Linotype" w:cs="Arial"/>
          <w:i/>
          <w:szCs w:val="24"/>
        </w:rPr>
        <w:t xml:space="preserve"> a la petición de la reconsideración administrativa que prevé el artículo 36, párrafo tercero, del Código Fiscal de la Federación, conforme al artículo 3, fracción V, de la Ley Orgánica del Tribunal Federal de Justicia Administrativa, vigente a partir del 19 de julio de 2016, </w:t>
      </w:r>
      <w:r w:rsidRPr="00B95AA5">
        <w:rPr>
          <w:rFonts w:ascii="Palatino Linotype" w:hAnsi="Palatino Linotype" w:cs="Arial"/>
          <w:b/>
          <w:i/>
          <w:szCs w:val="24"/>
        </w:rPr>
        <w:t>procede el juicio contencioso administrativo, en observancia al derecho fundamental de acceso a la justicia, previsto en el artículo 17 de la Constitución Política de los Estados Unidos Mexicanos, ya que</w:t>
      </w:r>
      <w:r w:rsidRPr="00343FAD">
        <w:rPr>
          <w:rFonts w:ascii="Palatino Linotype" w:hAnsi="Palatino Linotype" w:cs="Arial"/>
          <w:i/>
          <w:szCs w:val="24"/>
        </w:rPr>
        <w:t xml:space="preserve"> al tener un origen meramente fiscal, </w:t>
      </w:r>
      <w:r w:rsidRPr="00B95AA5">
        <w:rPr>
          <w:rFonts w:ascii="Palatino Linotype" w:hAnsi="Palatino Linotype" w:cs="Arial"/>
          <w:b/>
          <w:i/>
          <w:szCs w:val="24"/>
        </w:rPr>
        <w:t>es viable que por dicha vía sea reclamada la abstención en que incurre la autoridad</w:t>
      </w:r>
      <w:r w:rsidRPr="00343FAD">
        <w:rPr>
          <w:rFonts w:ascii="Palatino Linotype" w:hAnsi="Palatino Linotype" w:cs="Arial"/>
          <w:i/>
          <w:szCs w:val="24"/>
        </w:rPr>
        <w:t xml:space="preserve"> tributaria </w:t>
      </w:r>
      <w:r w:rsidRPr="00B95AA5">
        <w:rPr>
          <w:rFonts w:ascii="Palatino Linotype" w:hAnsi="Palatino Linotype" w:cs="Arial"/>
          <w:b/>
          <w:i/>
          <w:szCs w:val="24"/>
        </w:rPr>
        <w:t xml:space="preserve">en la solicitud </w:t>
      </w:r>
      <w:r w:rsidRPr="00343FAD">
        <w:rPr>
          <w:rFonts w:ascii="Palatino Linotype" w:hAnsi="Palatino Linotype" w:cs="Arial"/>
          <w:i/>
          <w:szCs w:val="24"/>
        </w:rPr>
        <w:t xml:space="preserve">del contribuyente </w:t>
      </w:r>
      <w:r w:rsidRPr="00B95AA5">
        <w:rPr>
          <w:rFonts w:ascii="Palatino Linotype" w:hAnsi="Palatino Linotype" w:cs="Arial"/>
          <w:b/>
          <w:i/>
          <w:szCs w:val="24"/>
        </w:rPr>
        <w:t xml:space="preserve">pues, </w:t>
      </w:r>
      <w:r w:rsidRPr="00B95AA5">
        <w:rPr>
          <w:rFonts w:ascii="Palatino Linotype" w:hAnsi="Palatino Linotype" w:cs="Arial"/>
          <w:b/>
          <w:i/>
          <w:szCs w:val="24"/>
          <w:u w:val="single"/>
        </w:rPr>
        <w:t>de otra manera, se le dejaría en completo estado de indefensión y su petición jamás tendría un pronunciamiento positivo o negativo</w:t>
      </w:r>
      <w:r w:rsidRPr="00B95AA5">
        <w:rPr>
          <w:rFonts w:ascii="Palatino Linotype" w:hAnsi="Palatino Linotype" w:cs="Arial"/>
          <w:b/>
          <w:i/>
          <w:szCs w:val="24"/>
        </w:rPr>
        <w:t>, lo que de suyo resulta violatorio de los derechos fundamentales de legalidad, seguridad jurídica y audiencia, previstos en los artículos 14 y 16 de la Carta Magna.</w:t>
      </w:r>
      <w:r w:rsidR="00343FAD" w:rsidRPr="00343FAD">
        <w:rPr>
          <w:rFonts w:ascii="Palatino Linotype" w:hAnsi="Palatino Linotype" w:cs="Arial"/>
          <w:i/>
          <w:szCs w:val="24"/>
        </w:rPr>
        <w:t>”</w:t>
      </w:r>
    </w:p>
    <w:p w:rsidR="00661E86" w:rsidRDefault="00661E86"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al regresar de nueva cuenta a nuestra Ley de Transparencia y Acceso a la Información Pública del Estado de México y Municipios, podemos concluir que el sobreseimiento decretado en el recurso de revisión </w:t>
      </w:r>
      <w:r>
        <w:rPr>
          <w:rFonts w:ascii="Palatino Linotype" w:hAnsi="Palatino Linotype" w:cs="Arial"/>
          <w:b/>
          <w:sz w:val="24"/>
          <w:szCs w:val="24"/>
        </w:rPr>
        <w:t>04</w:t>
      </w:r>
      <w:r w:rsidR="00B6506D">
        <w:rPr>
          <w:rFonts w:ascii="Palatino Linotype" w:hAnsi="Palatino Linotype" w:cs="Arial"/>
          <w:b/>
          <w:sz w:val="24"/>
          <w:szCs w:val="24"/>
        </w:rPr>
        <w:t>191</w:t>
      </w:r>
      <w:r>
        <w:rPr>
          <w:rFonts w:ascii="Palatino Linotype" w:hAnsi="Palatino Linotype" w:cs="Arial"/>
          <w:b/>
          <w:sz w:val="24"/>
          <w:szCs w:val="24"/>
        </w:rPr>
        <w:t>/INFOEM/IP/RR/2018</w:t>
      </w:r>
      <w:r>
        <w:rPr>
          <w:rFonts w:ascii="Palatino Linotype" w:hAnsi="Palatino Linotype" w:cs="Arial"/>
          <w:sz w:val="24"/>
          <w:szCs w:val="24"/>
        </w:rPr>
        <w:t xml:space="preserve">, por supuesto que actualiza en lo general la fracción V del numeral 192, empero, derivado del estudio del fondo del asunto, se concluye </w:t>
      </w:r>
      <w:r>
        <w:rPr>
          <w:rFonts w:ascii="Palatino Linotype" w:hAnsi="Palatino Linotype" w:cs="Arial"/>
          <w:sz w:val="24"/>
          <w:szCs w:val="24"/>
        </w:rPr>
        <w:lastRenderedPageBreak/>
        <w:t>que en lo particular se sustenta el sobreseimiento en atención a la fracción III del dispositivo legal en cita, el cual manifiesta lo siguiente:</w:t>
      </w: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B95AA5">
        <w:rPr>
          <w:rFonts w:ascii="Palatino Linotype" w:hAnsi="Palatino Linotype"/>
          <w:b/>
          <w:i/>
        </w:rPr>
        <w:t>Artículo 192.</w:t>
      </w:r>
      <w:r w:rsidRPr="00B95AA5">
        <w:rPr>
          <w:rFonts w:ascii="Palatino Linotype" w:hAnsi="Palatino Linotype"/>
          <w:i/>
        </w:rPr>
        <w:t xml:space="preserve"> El recurso será sobreseído, en todo o en parte, cuando una vez admitido, se actualicen alguno de los siguientes supuestos: </w:t>
      </w: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b/>
          <w:i/>
        </w:rPr>
      </w:pPr>
      <w:r w:rsidRPr="00B95AA5">
        <w:rPr>
          <w:rFonts w:ascii="Palatino Linotype" w:hAnsi="Palatino Linotype"/>
          <w:b/>
          <w:i/>
        </w:rPr>
        <w:t>III. El sujeto obligado responsable del acto lo modifique o revoque de tal manera que el recurso de revisión quede sin materia;</w:t>
      </w:r>
    </w:p>
    <w:p w:rsidR="00B95AA5" w:rsidRDefault="00B95AA5" w:rsidP="00B95AA5">
      <w:pPr>
        <w:pStyle w:val="Prrafodelista"/>
        <w:tabs>
          <w:tab w:val="left" w:pos="426"/>
        </w:tabs>
        <w:spacing w:after="0" w:line="360" w:lineRule="auto"/>
        <w:ind w:left="567" w:right="567"/>
        <w:jc w:val="both"/>
        <w:rPr>
          <w:rFonts w:ascii="Palatino Linotype" w:hAnsi="Palatino Linotype"/>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cs="Arial"/>
          <w:sz w:val="24"/>
          <w:szCs w:val="24"/>
        </w:rPr>
      </w:pPr>
      <w:r>
        <w:rPr>
          <w:rFonts w:ascii="Palatino Linotype" w:hAnsi="Palatino Linotype"/>
        </w:rPr>
        <w:t>(Énfasis añadido)</w:t>
      </w:r>
    </w:p>
    <w:p w:rsidR="00B95AA5" w:rsidRDefault="00B95AA5"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el </w:t>
      </w:r>
      <w:r w:rsidRPr="00B95AA5">
        <w:rPr>
          <w:rFonts w:ascii="Palatino Linotype" w:hAnsi="Palatino Linotype" w:cs="Arial"/>
          <w:b/>
          <w:sz w:val="24"/>
          <w:szCs w:val="24"/>
        </w:rPr>
        <w:t>acto</w:t>
      </w:r>
      <w:r>
        <w:rPr>
          <w:rFonts w:ascii="Palatino Linotype" w:hAnsi="Palatino Linotype" w:cs="Arial"/>
          <w:sz w:val="24"/>
          <w:szCs w:val="24"/>
        </w:rPr>
        <w:t xml:space="preserve"> virtud del cual se promovió en contra el recurso de revisión resulta ser el </w:t>
      </w:r>
      <w:r w:rsidRPr="00B95AA5">
        <w:rPr>
          <w:rFonts w:ascii="Palatino Linotype" w:hAnsi="Palatino Linotype" w:cs="Arial"/>
          <w:b/>
          <w:sz w:val="24"/>
          <w:szCs w:val="24"/>
        </w:rPr>
        <w:t>silencio de la autoridad</w:t>
      </w:r>
      <w:r>
        <w:rPr>
          <w:rFonts w:ascii="Palatino Linotype" w:hAnsi="Palatino Linotype" w:cs="Arial"/>
          <w:sz w:val="24"/>
          <w:szCs w:val="24"/>
        </w:rPr>
        <w:t>; por otro lado, la modificación</w:t>
      </w:r>
      <w:r w:rsidR="003718B9">
        <w:rPr>
          <w:rFonts w:ascii="Palatino Linotype" w:hAnsi="Palatino Linotype" w:cs="Arial"/>
          <w:sz w:val="24"/>
          <w:szCs w:val="24"/>
        </w:rPr>
        <w:t xml:space="preserve"> o revocación (en el caso particular resulta ser lo segundo)</w:t>
      </w:r>
      <w:r>
        <w:rPr>
          <w:rFonts w:ascii="Palatino Linotype" w:hAnsi="Palatino Linotype" w:cs="Arial"/>
          <w:sz w:val="24"/>
          <w:szCs w:val="24"/>
        </w:rPr>
        <w:t xml:space="preserve"> de ese acto de silencio u omisión, se configura a través del informe justificado emitido por el </w:t>
      </w:r>
      <w:r>
        <w:rPr>
          <w:rFonts w:ascii="Palatino Linotype" w:hAnsi="Palatino Linotype" w:cs="Arial"/>
          <w:b/>
          <w:sz w:val="24"/>
          <w:szCs w:val="24"/>
        </w:rPr>
        <w:t>SUJETO OBLIGADO</w:t>
      </w:r>
      <w:r>
        <w:rPr>
          <w:rFonts w:ascii="Palatino Linotype" w:hAnsi="Palatino Linotype" w:cs="Arial"/>
          <w:sz w:val="24"/>
          <w:szCs w:val="24"/>
        </w:rPr>
        <w:t xml:space="preserve"> dentro del apartado de </w:t>
      </w:r>
      <w:r>
        <w:rPr>
          <w:rFonts w:ascii="Palatino Linotype" w:hAnsi="Palatino Linotype" w:cs="Arial"/>
          <w:i/>
          <w:sz w:val="24"/>
          <w:szCs w:val="24"/>
        </w:rPr>
        <w:t>Manifestaciones</w:t>
      </w:r>
      <w:r>
        <w:rPr>
          <w:rFonts w:ascii="Palatino Linotype" w:hAnsi="Palatino Linotype" w:cs="Arial"/>
          <w:sz w:val="24"/>
          <w:szCs w:val="24"/>
        </w:rPr>
        <w:t xml:space="preserve"> del SAIMEX, dando contestación a los requerimientos planteados en la solicitud primigenia.</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3718B9" w:rsidRPr="003718B9" w:rsidRDefault="003718B9" w:rsidP="003718B9">
      <w:pPr>
        <w:pStyle w:val="Prrafodelista"/>
        <w:tabs>
          <w:tab w:val="left" w:pos="426"/>
        </w:tabs>
        <w:spacing w:after="0" w:line="360" w:lineRule="auto"/>
        <w:ind w:left="0" w:right="49"/>
        <w:jc w:val="both"/>
        <w:outlineLvl w:val="0"/>
        <w:rPr>
          <w:rFonts w:ascii="Palatino Linotype" w:hAnsi="Palatino Linotype" w:cs="Arial"/>
          <w:b/>
          <w:sz w:val="24"/>
          <w:szCs w:val="24"/>
        </w:rPr>
      </w:pPr>
      <w:bookmarkStart w:id="3" w:name="_Toc535841564"/>
      <w:r w:rsidRPr="003718B9">
        <w:rPr>
          <w:rFonts w:ascii="Palatino Linotype" w:hAnsi="Palatino Linotype" w:cs="Arial"/>
          <w:b/>
          <w:sz w:val="24"/>
          <w:szCs w:val="24"/>
        </w:rPr>
        <w:t>IV. Conclusión.</w:t>
      </w:r>
      <w:bookmarkEnd w:id="3"/>
    </w:p>
    <w:p w:rsidR="003718B9" w:rsidRDefault="003718B9" w:rsidP="0069743C">
      <w:pPr>
        <w:pStyle w:val="Prrafodelista"/>
        <w:tabs>
          <w:tab w:val="left" w:pos="426"/>
        </w:tabs>
        <w:spacing w:after="0" w:line="360" w:lineRule="auto"/>
        <w:ind w:left="0" w:right="49"/>
        <w:jc w:val="both"/>
        <w:rPr>
          <w:rFonts w:ascii="Palatino Linotype" w:hAnsi="Palatino Linotype" w:cs="Arial"/>
          <w:sz w:val="24"/>
          <w:szCs w:val="24"/>
        </w:rPr>
      </w:pPr>
    </w:p>
    <w:p w:rsidR="00DF6F7E" w:rsidRDefault="00B5167C" w:rsidP="00F72598">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Es por lo anterior que respetuosamente emito el presente voto particular, a efecto de ser exhaustivos en el análisis e interpretación de cada uno de los recursos de revisión, ya que si bien es cierto la fracción V del artículo 192 de la Ley de la Materia s</w:t>
      </w:r>
      <w:r w:rsidR="004C4C9C">
        <w:rPr>
          <w:rFonts w:ascii="Palatino Linotype" w:hAnsi="Palatino Linotype" w:cs="Arial"/>
          <w:sz w:val="24"/>
          <w:szCs w:val="24"/>
        </w:rPr>
        <w:t>e actualiza, al</w:t>
      </w:r>
      <w:r>
        <w:rPr>
          <w:rFonts w:ascii="Palatino Linotype" w:hAnsi="Palatino Linotype" w:cs="Arial"/>
          <w:sz w:val="24"/>
          <w:szCs w:val="24"/>
        </w:rPr>
        <w:t xml:space="preserve"> </w:t>
      </w:r>
      <w:r w:rsidR="004C4C9C">
        <w:rPr>
          <w:rFonts w:ascii="Palatino Linotype" w:hAnsi="Palatino Linotype" w:cs="Arial"/>
          <w:sz w:val="24"/>
          <w:szCs w:val="24"/>
        </w:rPr>
        <w:t xml:space="preserve">considerar de manera general, cualquier escenario por el que </w:t>
      </w:r>
      <w:r w:rsidR="004C4C9C">
        <w:rPr>
          <w:rFonts w:ascii="Palatino Linotype" w:hAnsi="Palatino Linotype" w:cs="Arial"/>
          <w:sz w:val="24"/>
          <w:szCs w:val="24"/>
        </w:rPr>
        <w:lastRenderedPageBreak/>
        <w:t>se deba sobreseer el recurso de revisión, lo cierto es que las fracciones I, II, III y IV del mismo artículo prevén escenarios específicos que actualicen el sobreseimiento, como en el caso que nos ocupa, resulta ser la fracción III.</w:t>
      </w:r>
    </w:p>
    <w:p w:rsidR="003718B9" w:rsidRPr="003718B9" w:rsidRDefault="003718B9" w:rsidP="003718B9">
      <w:pPr>
        <w:pStyle w:val="Prrafodelista"/>
        <w:tabs>
          <w:tab w:val="left" w:pos="426"/>
        </w:tabs>
        <w:spacing w:line="360" w:lineRule="auto"/>
        <w:ind w:left="0"/>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Adoptar la posici</w:t>
      </w:r>
      <w:r w:rsidR="00B5167C">
        <w:rPr>
          <w:rFonts w:ascii="Palatino Linotype" w:hAnsi="Palatino Linotype" w:cs="Arial"/>
          <w:sz w:val="24"/>
          <w:szCs w:val="24"/>
        </w:rPr>
        <w:t xml:space="preserve">ón que propongo, la cual es evitar hacer un uso indebido e innecesario de la fracción V del artículo 192 de la Ley de Transparencia y Acceso a la Información Pública del Estado de México y Municipios, para en su lugar realizar el formal y profundo estudio del análisis del caso a efecto de buscar el supuesto de actualización de alguna causal de sobreseimiento contenido en las fracciones I, II, III o IV del numeral en comento, reviste a nuestras resoluciones con los principios de </w:t>
      </w:r>
      <w:r w:rsidR="00B5167C">
        <w:rPr>
          <w:rFonts w:ascii="Palatino Linotype" w:hAnsi="Palatino Linotype" w:cs="Arial"/>
          <w:b/>
          <w:sz w:val="24"/>
          <w:szCs w:val="24"/>
        </w:rPr>
        <w:t>certeza, eficacia, legalidad</w:t>
      </w:r>
      <w:r w:rsidR="00B5167C">
        <w:rPr>
          <w:rFonts w:ascii="Palatino Linotype" w:hAnsi="Palatino Linotype" w:cs="Arial"/>
          <w:sz w:val="24"/>
          <w:szCs w:val="24"/>
        </w:rPr>
        <w:t xml:space="preserve"> y </w:t>
      </w:r>
      <w:r w:rsidR="00B5167C">
        <w:rPr>
          <w:rFonts w:ascii="Palatino Linotype" w:hAnsi="Palatino Linotype" w:cs="Arial"/>
          <w:b/>
          <w:sz w:val="24"/>
          <w:szCs w:val="24"/>
        </w:rPr>
        <w:t>objetividad</w:t>
      </w:r>
      <w:r w:rsidR="00B5167C">
        <w:rPr>
          <w:rFonts w:ascii="Palatino Linotype" w:hAnsi="Palatino Linotype" w:cs="Arial"/>
          <w:sz w:val="24"/>
          <w:szCs w:val="24"/>
        </w:rPr>
        <w:t>, al erogar resoluciones exhaustivas en su sustanciación.</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3C3C72" w:rsidRDefault="0046491C" w:rsidP="003C3C72">
      <w:pPr>
        <w:pStyle w:val="Sinespaciado"/>
        <w:jc w:val="center"/>
        <w:rPr>
          <w:rFonts w:ascii="Palatino Linotype" w:hAnsi="Palatino Linotype"/>
          <w:b/>
          <w:sz w:val="24"/>
        </w:rPr>
      </w:pPr>
      <w:r w:rsidRPr="003C3C72">
        <w:rPr>
          <w:rFonts w:ascii="Palatino Linotype" w:hAnsi="Palatino Linotype"/>
          <w:b/>
          <w:sz w:val="24"/>
        </w:rPr>
        <w:t>JOSÉ GUADALUPE LUNA HERNÁNDEZ</w:t>
      </w:r>
    </w:p>
    <w:p w:rsidR="0046491C" w:rsidRDefault="0046491C" w:rsidP="003C3C72">
      <w:pPr>
        <w:pStyle w:val="Sinespaciado"/>
        <w:jc w:val="center"/>
        <w:rPr>
          <w:rFonts w:ascii="Palatino Linotype" w:hAnsi="Palatino Linotype"/>
          <w:b/>
          <w:sz w:val="24"/>
        </w:rPr>
      </w:pPr>
      <w:r w:rsidRPr="003C3C72">
        <w:rPr>
          <w:rFonts w:ascii="Palatino Linotype" w:hAnsi="Palatino Linotype"/>
          <w:b/>
          <w:sz w:val="24"/>
        </w:rPr>
        <w:t>COMISIONADO</w:t>
      </w:r>
    </w:p>
    <w:p w:rsidR="007D24CA" w:rsidRDefault="00CF5503" w:rsidP="003C3C72">
      <w:pPr>
        <w:pStyle w:val="Sinespaciado"/>
        <w:jc w:val="center"/>
        <w:rPr>
          <w:rFonts w:ascii="Palatino Linotype" w:hAnsi="Palatino Linotype"/>
          <w:b/>
          <w:sz w:val="24"/>
        </w:rPr>
      </w:pPr>
      <w:r>
        <w:rPr>
          <w:rFonts w:ascii="Palatino Linotype" w:hAnsi="Palatino Linotype"/>
          <w:b/>
          <w:sz w:val="24"/>
        </w:rPr>
        <w:t xml:space="preserve"> </w:t>
      </w:r>
      <w:bookmarkStart w:id="4" w:name="_GoBack"/>
      <w:bookmarkEnd w:id="4"/>
    </w:p>
    <w:p w:rsidR="00B62486" w:rsidRDefault="002972C8" w:rsidP="002972C8">
      <w:pPr>
        <w:spacing w:line="360" w:lineRule="auto"/>
        <w:jc w:val="center"/>
        <w:rPr>
          <w:rFonts w:ascii="Palatino Linotype" w:hAnsi="Palatino Linotype"/>
          <w:b/>
          <w:sz w:val="24"/>
          <w:szCs w:val="24"/>
        </w:rPr>
      </w:pPr>
      <w:r>
        <w:rPr>
          <w:rFonts w:ascii="Palatino Linotype" w:hAnsi="Palatino Linotype"/>
          <w:b/>
          <w:sz w:val="24"/>
          <w:szCs w:val="24"/>
        </w:rPr>
        <w:t>(RÚBRICA)</w:t>
      </w:r>
    </w:p>
    <w:p w:rsidR="002972C8" w:rsidRDefault="002972C8" w:rsidP="00575478">
      <w:pPr>
        <w:spacing w:line="360" w:lineRule="auto"/>
        <w:rPr>
          <w:rFonts w:ascii="Palatino Linotype" w:hAnsi="Palatino Linotype"/>
          <w:b/>
          <w:sz w:val="24"/>
          <w:szCs w:val="24"/>
        </w:rPr>
      </w:pPr>
    </w:p>
    <w:p w:rsidR="00575478" w:rsidRPr="0001046D" w:rsidRDefault="00A71441" w:rsidP="00C46A04">
      <w:pPr>
        <w:spacing w:line="360" w:lineRule="auto"/>
        <w:jc w:val="right"/>
        <w:rPr>
          <w:rFonts w:ascii="Palatino Linotype" w:hAnsi="Palatino Linotype"/>
          <w:b/>
          <w:sz w:val="24"/>
          <w:szCs w:val="24"/>
        </w:rPr>
      </w:pPr>
      <w:r>
        <w:rPr>
          <w:rFonts w:ascii="Palatino Linotype" w:hAnsi="Palatino Linotype"/>
          <w:b/>
          <w:sz w:val="24"/>
          <w:szCs w:val="24"/>
        </w:rPr>
        <w:t>JGLH/</w:t>
      </w:r>
      <w:r w:rsidR="00665F22">
        <w:rPr>
          <w:rFonts w:ascii="Palatino Linotype" w:hAnsi="Palatino Linotype"/>
          <w:b/>
          <w:sz w:val="24"/>
          <w:szCs w:val="24"/>
        </w:rPr>
        <w:t>DAG</w:t>
      </w:r>
      <w:r w:rsidR="00575478">
        <w:rPr>
          <w:rFonts w:ascii="Palatino Linotype" w:hAnsi="Palatino Linotype"/>
          <w:b/>
          <w:sz w:val="24"/>
          <w:szCs w:val="24"/>
        </w:rPr>
        <w:t>.</w:t>
      </w:r>
    </w:p>
    <w:sectPr w:rsidR="00575478" w:rsidRPr="0001046D" w:rsidSect="003C3C72">
      <w:headerReference w:type="even" r:id="rId8"/>
      <w:headerReference w:type="default" r:id="rId9"/>
      <w:footerReference w:type="default" r:id="rId10"/>
      <w:headerReference w:type="first" r:id="rId11"/>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7DC" w:rsidRDefault="002857DC" w:rsidP="00E706DA">
      <w:pPr>
        <w:spacing w:after="0" w:line="240" w:lineRule="auto"/>
      </w:pPr>
      <w:r>
        <w:separator/>
      </w:r>
    </w:p>
  </w:endnote>
  <w:endnote w:type="continuationSeparator" w:id="0">
    <w:p w:rsidR="002857DC" w:rsidRDefault="002857DC"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F72598"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15440">
              <w:rPr>
                <w:rFonts w:ascii="Palatino Linotype" w:hAnsi="Palatino Linotype"/>
                <w:b/>
                <w:bCs/>
                <w:noProof/>
                <w:sz w:val="20"/>
                <w:szCs w:val="20"/>
              </w:rPr>
              <w:t>3</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15440">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F72598" w:rsidRDefault="00F725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7DC" w:rsidRDefault="002857DC" w:rsidP="00E706DA">
      <w:pPr>
        <w:spacing w:after="0" w:line="240" w:lineRule="auto"/>
      </w:pPr>
      <w:r>
        <w:separator/>
      </w:r>
    </w:p>
  </w:footnote>
  <w:footnote w:type="continuationSeparator" w:id="0">
    <w:p w:rsidR="002857DC" w:rsidRDefault="002857DC" w:rsidP="00E706DA">
      <w:pPr>
        <w:spacing w:after="0" w:line="240" w:lineRule="auto"/>
      </w:pPr>
      <w:r>
        <w:continuationSeparator/>
      </w:r>
    </w:p>
  </w:footnote>
  <w:footnote w:id="1">
    <w:p w:rsidR="00863C51" w:rsidRPr="00863C51" w:rsidRDefault="00863C51">
      <w:pPr>
        <w:pStyle w:val="Textonotapie"/>
        <w:rPr>
          <w:rFonts w:ascii="Palatino Linotype" w:hAnsi="Palatino Linotype"/>
        </w:rPr>
      </w:pPr>
      <w:r w:rsidRPr="00863C51">
        <w:rPr>
          <w:rStyle w:val="Refdenotaalpie"/>
          <w:rFonts w:ascii="Palatino Linotype" w:hAnsi="Palatino Linotype"/>
        </w:rPr>
        <w:footnoteRef/>
      </w:r>
      <w:r w:rsidRPr="00863C51">
        <w:rPr>
          <w:rFonts w:ascii="Palatino Linotype" w:hAnsi="Palatino Linotype"/>
        </w:rPr>
        <w:t xml:space="preserve"> Dentro del Derecho Administrativo este supuesto puede cambiar en atención a que puede existir una controversia no sólo entre autoridades y particulares, sino también entre autoridades en contra de otras autoridades.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2857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2857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F72598" w:rsidRDefault="00F725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2857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0A5"/>
    <w:multiLevelType w:val="hybridMultilevel"/>
    <w:tmpl w:val="54A6EA48"/>
    <w:lvl w:ilvl="0" w:tplc="CC2EAB3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E20EBB"/>
    <w:multiLevelType w:val="hybridMultilevel"/>
    <w:tmpl w:val="C1AC85C6"/>
    <w:lvl w:ilvl="0" w:tplc="459864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8"/>
  </w:num>
  <w:num w:numId="6">
    <w:abstractNumId w:val="10"/>
  </w:num>
  <w:num w:numId="7">
    <w:abstractNumId w:val="13"/>
  </w:num>
  <w:num w:numId="8">
    <w:abstractNumId w:val="11"/>
  </w:num>
  <w:num w:numId="9">
    <w:abstractNumId w:val="16"/>
  </w:num>
  <w:num w:numId="10">
    <w:abstractNumId w:val="2"/>
  </w:num>
  <w:num w:numId="11">
    <w:abstractNumId w:val="15"/>
  </w:num>
  <w:num w:numId="12">
    <w:abstractNumId w:val="6"/>
  </w:num>
  <w:num w:numId="13">
    <w:abstractNumId w:val="3"/>
  </w:num>
  <w:num w:numId="14">
    <w:abstractNumId w:val="5"/>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5440"/>
    <w:rsid w:val="00017405"/>
    <w:rsid w:val="00043E31"/>
    <w:rsid w:val="0007397C"/>
    <w:rsid w:val="00073F0D"/>
    <w:rsid w:val="00076D06"/>
    <w:rsid w:val="000951B4"/>
    <w:rsid w:val="000A77B5"/>
    <w:rsid w:val="000A7B66"/>
    <w:rsid w:val="000F6C81"/>
    <w:rsid w:val="000F6CBB"/>
    <w:rsid w:val="00105730"/>
    <w:rsid w:val="00122625"/>
    <w:rsid w:val="00194B6A"/>
    <w:rsid w:val="00195683"/>
    <w:rsid w:val="001D3F34"/>
    <w:rsid w:val="0020315F"/>
    <w:rsid w:val="002036ED"/>
    <w:rsid w:val="00222DD9"/>
    <w:rsid w:val="00225026"/>
    <w:rsid w:val="00260D6C"/>
    <w:rsid w:val="002620E9"/>
    <w:rsid w:val="00281310"/>
    <w:rsid w:val="002857DC"/>
    <w:rsid w:val="002972C8"/>
    <w:rsid w:val="002C1F75"/>
    <w:rsid w:val="002D3215"/>
    <w:rsid w:val="002F71D0"/>
    <w:rsid w:val="00302832"/>
    <w:rsid w:val="00343FAD"/>
    <w:rsid w:val="00346DBD"/>
    <w:rsid w:val="00367E00"/>
    <w:rsid w:val="003705BB"/>
    <w:rsid w:val="003718B9"/>
    <w:rsid w:val="003747A5"/>
    <w:rsid w:val="003837C2"/>
    <w:rsid w:val="003974A7"/>
    <w:rsid w:val="003A79AE"/>
    <w:rsid w:val="003C3C72"/>
    <w:rsid w:val="003D7B9E"/>
    <w:rsid w:val="004010CE"/>
    <w:rsid w:val="00412952"/>
    <w:rsid w:val="00413496"/>
    <w:rsid w:val="00424DE3"/>
    <w:rsid w:val="00444048"/>
    <w:rsid w:val="0046491C"/>
    <w:rsid w:val="0048490F"/>
    <w:rsid w:val="004A34E5"/>
    <w:rsid w:val="004C4C9C"/>
    <w:rsid w:val="004F5418"/>
    <w:rsid w:val="005021A4"/>
    <w:rsid w:val="00532410"/>
    <w:rsid w:val="005413BD"/>
    <w:rsid w:val="00575478"/>
    <w:rsid w:val="005A3267"/>
    <w:rsid w:val="005C79C8"/>
    <w:rsid w:val="005F3760"/>
    <w:rsid w:val="00634736"/>
    <w:rsid w:val="00651380"/>
    <w:rsid w:val="00661E86"/>
    <w:rsid w:val="00665F22"/>
    <w:rsid w:val="006728FD"/>
    <w:rsid w:val="00673293"/>
    <w:rsid w:val="0069498B"/>
    <w:rsid w:val="0069743C"/>
    <w:rsid w:val="006E1859"/>
    <w:rsid w:val="006E2606"/>
    <w:rsid w:val="00714831"/>
    <w:rsid w:val="00717C0D"/>
    <w:rsid w:val="0072136B"/>
    <w:rsid w:val="00734C24"/>
    <w:rsid w:val="0076241F"/>
    <w:rsid w:val="00770016"/>
    <w:rsid w:val="0078624F"/>
    <w:rsid w:val="00790E37"/>
    <w:rsid w:val="007A7FAD"/>
    <w:rsid w:val="007D24CA"/>
    <w:rsid w:val="007E2CF8"/>
    <w:rsid w:val="008006E3"/>
    <w:rsid w:val="00814E97"/>
    <w:rsid w:val="00832884"/>
    <w:rsid w:val="008361CA"/>
    <w:rsid w:val="00850252"/>
    <w:rsid w:val="00856FA1"/>
    <w:rsid w:val="00863C51"/>
    <w:rsid w:val="008822B3"/>
    <w:rsid w:val="00895A90"/>
    <w:rsid w:val="008B03B6"/>
    <w:rsid w:val="008B28C3"/>
    <w:rsid w:val="008C2FF2"/>
    <w:rsid w:val="008D4B3A"/>
    <w:rsid w:val="008E01AC"/>
    <w:rsid w:val="008E1DCC"/>
    <w:rsid w:val="008E4128"/>
    <w:rsid w:val="008F3E81"/>
    <w:rsid w:val="00900E75"/>
    <w:rsid w:val="00902248"/>
    <w:rsid w:val="009156AC"/>
    <w:rsid w:val="00935107"/>
    <w:rsid w:val="00937D7D"/>
    <w:rsid w:val="0094239C"/>
    <w:rsid w:val="009B4E7D"/>
    <w:rsid w:val="009C4EF6"/>
    <w:rsid w:val="00A63717"/>
    <w:rsid w:val="00A71441"/>
    <w:rsid w:val="00AA49F3"/>
    <w:rsid w:val="00AB023D"/>
    <w:rsid w:val="00AB126B"/>
    <w:rsid w:val="00AC381E"/>
    <w:rsid w:val="00AE4797"/>
    <w:rsid w:val="00AE58DA"/>
    <w:rsid w:val="00AF73BC"/>
    <w:rsid w:val="00B120CA"/>
    <w:rsid w:val="00B5167C"/>
    <w:rsid w:val="00B62486"/>
    <w:rsid w:val="00B6506D"/>
    <w:rsid w:val="00B85ED9"/>
    <w:rsid w:val="00B95AA5"/>
    <w:rsid w:val="00BC7B0C"/>
    <w:rsid w:val="00BE46D4"/>
    <w:rsid w:val="00BF3534"/>
    <w:rsid w:val="00C31B36"/>
    <w:rsid w:val="00C46A04"/>
    <w:rsid w:val="00C504FA"/>
    <w:rsid w:val="00CE0823"/>
    <w:rsid w:val="00CF5503"/>
    <w:rsid w:val="00CF71F8"/>
    <w:rsid w:val="00D26875"/>
    <w:rsid w:val="00D33AF9"/>
    <w:rsid w:val="00D363F7"/>
    <w:rsid w:val="00D63DB4"/>
    <w:rsid w:val="00D72985"/>
    <w:rsid w:val="00D7508B"/>
    <w:rsid w:val="00D85C47"/>
    <w:rsid w:val="00DA6B18"/>
    <w:rsid w:val="00DF6F7E"/>
    <w:rsid w:val="00E30CD7"/>
    <w:rsid w:val="00E34F08"/>
    <w:rsid w:val="00E35329"/>
    <w:rsid w:val="00E6129E"/>
    <w:rsid w:val="00E61AB8"/>
    <w:rsid w:val="00E706DA"/>
    <w:rsid w:val="00E83E93"/>
    <w:rsid w:val="00E90EB5"/>
    <w:rsid w:val="00E94FBF"/>
    <w:rsid w:val="00E95FDE"/>
    <w:rsid w:val="00EA2C08"/>
    <w:rsid w:val="00EC081C"/>
    <w:rsid w:val="00ED288D"/>
    <w:rsid w:val="00ED57EE"/>
    <w:rsid w:val="00EF0C2D"/>
    <w:rsid w:val="00F15D8D"/>
    <w:rsid w:val="00F25783"/>
    <w:rsid w:val="00F31398"/>
    <w:rsid w:val="00F45161"/>
    <w:rsid w:val="00F46E78"/>
    <w:rsid w:val="00F7259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D2B5887-CDD2-405A-A700-C7FD82E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paragraph" w:styleId="TDC2">
    <w:name w:val="toc 2"/>
    <w:basedOn w:val="Normal"/>
    <w:next w:val="Normal"/>
    <w:autoRedefine/>
    <w:uiPriority w:val="39"/>
    <w:unhideWhenUsed/>
    <w:rsid w:val="003718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56353944">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0335789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D35EB-265A-4142-966A-5FF0BE57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3260</Words>
  <Characters>17930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JARB</cp:lastModifiedBy>
  <cp:revision>2</cp:revision>
  <cp:lastPrinted>2019-01-21T23:04:00Z</cp:lastPrinted>
  <dcterms:created xsi:type="dcterms:W3CDTF">2019-01-21T23:34:00Z</dcterms:created>
  <dcterms:modified xsi:type="dcterms:W3CDTF">2019-01-21T23:34:00Z</dcterms:modified>
</cp:coreProperties>
</file>